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Accountant</w:t>
      </w:r>
      <w:r>
        <w:t xml:space="preserve"> </w:t>
      </w:r>
      <w:r>
        <w:t xml:space="preserve">Services</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3" w:name="X9cac8a5c99efb1b663c38cff718ca93e4d8eab0"/>
    <w:p>
      <w:pPr>
        <w:pStyle w:val="Heading1"/>
      </w:pPr>
      <w:r>
        <w:t xml:space="preserve">Lab Report:</w:t>
      </w:r>
      <w:r>
        <w:t xml:space="preserve"> </w:t>
      </w:r>
      <w:r>
        <w:t xml:space="preserve">Comprehensive Analysis of Accountant Services in</w:t>
      </w:r>
      <w:r>
        <w:t xml:space="preserve"> </w:t>
      </w:r>
      <w:r>
        <w:t xml:space="preserve">Spain Valencia</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Financial Compliance and Operational Efficiency for the Role of an Accountant in the Valencian Community</w:t>
      </w:r>
    </w:p>
    <w:bookmarkStart w:id="20" w:name="introduction"/>
    <w:p>
      <w:pPr>
        <w:pStyle w:val="Heading2"/>
      </w:pPr>
      <w:r>
        <w:t xml:space="preserve">1. Introduction</w:t>
      </w:r>
    </w:p>
    <w:p>
      <w:pPr>
        <w:pStyle w:val="FirstParagraph"/>
      </w:pPr>
      <w:r>
        <w:t xml:space="preserve">The purpose of this document is to present a detailed analysis regarding the professional functions, legal requirements, and operational challenges faced by an</w:t>
      </w:r>
      <w:r>
        <w:t xml:space="preserve"> </w:t>
      </w:r>
      <w:r>
        <w:t xml:space="preserve">Accountant</w:t>
      </w:r>
      <w:r>
        <w:t xml:space="preserve"> </w:t>
      </w:r>
      <w:r>
        <w:t xml:space="preserve">operating within the specific economic and regulatory environment of</w:t>
      </w:r>
      <w:r>
        <w:t xml:space="preserve"> </w:t>
      </w:r>
      <w:r>
        <w:t xml:space="preserve">Spain Valencia</w:t>
      </w:r>
      <w:r>
        <w:t xml:space="preserve">. This report serves as a "lab" for understanding how global accounting standards intersect with local Spanish tax laws, specifically those enforced by the Agencia Estatal de Administración Tributaria (AEAT) and regional bodies in Valencia. As globalization increases, the demand for precise financial management has never been higher. However, the complexity of the Spanish fiscal system requires a specialized approach that differs significantly from standard Anglo-American accounting practices.</w:t>
      </w:r>
    </w:p>
    <w:p>
      <w:pPr>
        <w:pStyle w:val="BodyText"/>
      </w:pPr>
      <w:r>
        <w:t xml:space="preserve">In this context, an</w:t>
      </w:r>
      <w:r>
        <w:t xml:space="preserve"> </w:t>
      </w:r>
      <w:r>
        <w:t xml:space="preserve">Accountant</w:t>
      </w:r>
      <w:r>
        <w:t xml:space="preserve"> </w:t>
      </w:r>
      <w:r>
        <w:t xml:space="preserve">is not merely a record-keeper but a strategic advisor who must navigate the intricate web of corporate tax, value-added tax (IVA), and social security contributions specific to the Valencian region. This report aims to dissect these responsibilities, providing a framework for ensuring compliance and optimizing financial health for businesses located in</w:t>
      </w:r>
      <w:r>
        <w:t xml:space="preserve"> </w:t>
      </w:r>
      <w:r>
        <w:t xml:space="preserve">Spain Valencia</w:t>
      </w:r>
      <w:r>
        <w:t xml:space="preserve">.</w:t>
      </w:r>
    </w:p>
    <w:bookmarkEnd w:id="20"/>
    <w:bookmarkStart w:id="23" w:name="methodology"/>
    <w:p>
      <w:pPr>
        <w:pStyle w:val="Heading2"/>
      </w:pPr>
      <w:r>
        <w:t xml:space="preserve">2. Methodology of Financial Oversight</w:t>
      </w:r>
    </w:p>
    <w:p>
      <w:pPr>
        <w:pStyle w:val="FirstParagraph"/>
      </w:pPr>
      <w:r>
        <w:t xml:space="preserve">The methodology employed in this analysis involves a review of the current legislative framework applicable to private entities and self-employed workers (autónomos) in the Valencian Community. The primary focus is on how an</w:t>
      </w:r>
      <w:r>
        <w:t xml:space="preserve"> </w:t>
      </w:r>
      <w:r>
        <w:t xml:space="preserve">Accountant</w:t>
      </w:r>
      <w:r>
        <w:t xml:space="preserve"> </w:t>
      </w:r>
      <w:r>
        <w:t xml:space="preserve">must structure their workflow to ensure that clients adhere to deadlines set by both national and regional authorities.</w:t>
      </w:r>
    </w:p>
    <w:bookmarkStart w:id="21" w:name="data-collection-and-verification"/>
    <w:p>
      <w:pPr>
        <w:pStyle w:val="Heading3"/>
      </w:pPr>
      <w:r>
        <w:t xml:space="preserve">2.1 Data Collection and Verification</w:t>
      </w:r>
    </w:p>
    <w:p>
      <w:pPr>
        <w:pStyle w:val="FirstParagraph"/>
      </w:pPr>
      <w:r>
        <w:t xml:space="preserve">The first step in the accounting process in</w:t>
      </w:r>
      <w:r>
        <w:t xml:space="preserve"> </w:t>
      </w:r>
      <w:r>
        <w:t xml:space="preserve">Spain Valencia</w:t>
      </w:r>
      <w:r>
        <w:t xml:space="preserve"> </w:t>
      </w:r>
      <w:r>
        <w:t xml:space="preserve">involves the rigorous collection of financial documents, including invoices, bank statements, and payroll records. The</w:t>
      </w:r>
      <w:r>
        <w:t xml:space="preserve"> </w:t>
      </w:r>
      <w:r>
        <w:t xml:space="preserve">Accountant</w:t>
      </w:r>
      <w:r>
        <w:t xml:space="preserve"> </w:t>
      </w:r>
      <w:r>
        <w:t xml:space="preserve">must verify these documents against digital receipts required by the Spanish government's VERIFAC system and subsequent electronic invoice mandates. This ensures that all transactions are legally recognized and can be used for tax deductions.</w:t>
      </w:r>
    </w:p>
    <w:bookmarkEnd w:id="21"/>
    <w:bookmarkStart w:id="22" w:name="software-implementation"/>
    <w:p>
      <w:pPr>
        <w:pStyle w:val="Heading3"/>
      </w:pPr>
      <w:r>
        <w:t xml:space="preserve">2.2 Software Implementation</w:t>
      </w:r>
    </w:p>
    <w:p>
      <w:pPr>
        <w:pStyle w:val="FirstParagraph"/>
      </w:pPr>
      <w:r>
        <w:t xml:space="preserve">To manage the high volume of data typical in a bustling economic hub like Valencia, an</w:t>
      </w:r>
      <w:r>
        <w:t xml:space="preserve"> </w:t>
      </w:r>
      <w:r>
        <w:t xml:space="preserve">Accountant</w:t>
      </w:r>
      <w:r>
        <w:t xml:space="preserve"> </w:t>
      </w:r>
      <w:r>
        <w:t xml:space="preserve">must utilize certified accounting software compatible with Spanish tax reporting standards. The integration of these tools allows for real-time tracking of expenses and revenues, facilitating the immediate identification of discrepancies.</w:t>
      </w:r>
    </w:p>
    <w:bookmarkEnd w:id="22"/>
    <w:bookmarkEnd w:id="23"/>
    <w:bookmarkStart w:id="27" w:name="regulatory-framework"/>
    <w:p>
      <w:pPr>
        <w:pStyle w:val="Heading2"/>
      </w:pPr>
      <w:r>
        <w:t xml:space="preserve">3. Regulatory Framework in Spain Valencia</w:t>
      </w:r>
    </w:p>
    <w:p>
      <w:pPr>
        <w:pStyle w:val="FirstParagraph"/>
      </w:pPr>
      <w:r>
        <w:t xml:space="preserve">The operational environment for an</w:t>
      </w:r>
      <w:r>
        <w:t xml:space="preserve"> </w:t>
      </w:r>
      <w:r>
        <w:t xml:space="preserve">Accountant</w:t>
      </w:r>
      <w:r>
        <w:t xml:space="preserve"> </w:t>
      </w:r>
      <w:r>
        <w:t xml:space="preserve">in</w:t>
      </w:r>
      <w:r>
        <w:t xml:space="preserve"> </w:t>
      </w:r>
      <w:r>
        <w:t xml:space="preserve">Spain Valencia</w:t>
      </w:r>
      <w:r>
        <w:t xml:space="preserve"> </w:t>
      </w:r>
      <w:r>
        <w:t xml:space="preserve">is defined by a dual-layer regulatory structure: national laws from Madrid and regional regulations from the Generalitat Valenciana. Understanding this duality is critical for accurate financial reporting.</w:t>
      </w:r>
    </w:p>
    <w:bookmarkStart w:id="24" w:name="corporate-tax-impuesto-sobre-sociedades"/>
    <w:p>
      <w:pPr>
        <w:pStyle w:val="Heading3"/>
      </w:pPr>
      <w:r>
        <w:t xml:space="preserve">3.1 Corporate Tax (Impuesto sobre Sociedades)</w:t>
      </w:r>
    </w:p>
    <w:p>
      <w:pPr>
        <w:pStyle w:val="FirstParagraph"/>
      </w:pPr>
      <w:r>
        <w:t xml:space="preserve">In general, the corporate tax rate in Spain is 25%. However, an</w:t>
      </w:r>
      <w:r>
        <w:t xml:space="preserve"> </w:t>
      </w:r>
      <w:r>
        <w:t xml:space="preserve">Accountant</w:t>
      </w:r>
      <w:r>
        <w:t xml:space="preserve"> </w:t>
      </w:r>
      <w:r>
        <w:t xml:space="preserve">must evaluate if new businesses or small and medium-sized enterprises (SMEs) qualify for reduced rates. Furthermore, specific incentives may exist within the Valencian region to encourage investment in technology or green energy sectors. The</w:t>
      </w:r>
      <w:r>
        <w:t xml:space="preserve"> </w:t>
      </w:r>
      <w:r>
        <w:t xml:space="preserve">Accountant</w:t>
      </w:r>
      <w:r>
        <w:t xml:space="preserve"> </w:t>
      </w:r>
      <w:r>
        <w:t xml:space="preserve">is responsible for identifying these opportunities and ensuring the client claims all eligible deductions.</w:t>
      </w:r>
    </w:p>
    <w:bookmarkEnd w:id="24"/>
    <w:bookmarkStart w:id="25" w:name="value-added-tax-iva"/>
    <w:p>
      <w:pPr>
        <w:pStyle w:val="Heading3"/>
      </w:pPr>
      <w:r>
        <w:t xml:space="preserve">3.2 Value Added Tax (IVA)</w:t>
      </w:r>
    </w:p>
    <w:p>
      <w:pPr>
        <w:pStyle w:val="FirstParagraph"/>
      </w:pPr>
      <w:r>
        <w:t xml:space="preserve">The standard IVA rate in Spain is 21%, but reduced rates of 10% and super-reduced rates of 4% apply to certain goods and services. In</w:t>
      </w:r>
      <w:r>
        <w:t xml:space="preserve"> </w:t>
      </w:r>
      <w:r>
        <w:t xml:space="preserve">Spain Valencia</w:t>
      </w:r>
      <w:r>
        <w:t xml:space="preserve">, particularly in the tourism-heavy coastal areas, the management of tourist taxes (Impuesto de Turismo Sostenible) adds an additional layer of complexity. An</w:t>
      </w:r>
      <w:r>
        <w:t xml:space="preserve"> </w:t>
      </w:r>
      <w:r>
        <w:t xml:space="preserve">Accountant</w:t>
      </w:r>
      <w:r>
        <w:t xml:space="preserve"> </w:t>
      </w:r>
      <w:r>
        <w:t xml:space="preserve">must ensure that hotels and accommodation providers correctly calculate and remit these regional taxes alongside national VAT.</w:t>
      </w:r>
    </w:p>
    <w:bookmarkEnd w:id="25"/>
    <w:bookmarkStart w:id="26" w:name="regional-taxes-ivaj"/>
    <w:p>
      <w:pPr>
        <w:pStyle w:val="Heading3"/>
      </w:pPr>
      <w:r>
        <w:t xml:space="preserve">3.3 Regional Taxes (IVAJ)</w:t>
      </w:r>
    </w:p>
    <w:p>
      <w:pPr>
        <w:pStyle w:val="FirstParagraph"/>
      </w:pPr>
      <w:r>
        <w:t xml:space="preserve">A unique aspect of operating in the Valencian Community is the Impuesto sobre Transmisiones Patrimoniales y Actos Jurídicos Documentados (ITP/AJD), often referred to locally as IVAJ. While similar to national transfer taxes, regional nuances apply. The</w:t>
      </w:r>
      <w:r>
        <w:t xml:space="preserve"> </w:t>
      </w:r>
      <w:r>
        <w:t xml:space="preserve">Accountant</w:t>
      </w:r>
      <w:r>
        <w:t xml:space="preserve"> </w:t>
      </w:r>
      <w:r>
        <w:t xml:space="preserve">must be adept at calculating these fees for property transactions and business transfers within the province of Valencia.</w:t>
      </w:r>
    </w:p>
    <w:bookmarkEnd w:id="26"/>
    <w:bookmarkEnd w:id="27"/>
    <w:bookmarkStart w:id="30" w:name="challenges"/>
    <w:p>
      <w:pPr>
        <w:pStyle w:val="Heading2"/>
      </w:pPr>
      <w:r>
        <w:t xml:space="preserve">4. Operational Challenges</w:t>
      </w:r>
    </w:p>
    <w:p>
      <w:pPr>
        <w:pStyle w:val="FirstParagraph"/>
      </w:pPr>
      <w:r>
        <w:t xml:space="preserve">The role of an</w:t>
      </w:r>
      <w:r>
        <w:t xml:space="preserve"> </w:t>
      </w:r>
      <w:r>
        <w:t xml:space="preserve">Accountant</w:t>
      </w:r>
      <w:r>
        <w:t xml:space="preserve"> </w:t>
      </w:r>
      <w:r>
        <w:t xml:space="preserve">in</w:t>
      </w:r>
      <w:r>
        <w:t xml:space="preserve"> </w:t>
      </w:r>
      <w:r>
        <w:t xml:space="preserve">Spain Valencia</w:t>
      </w:r>
      <w:r>
        <w:t xml:space="preserve"> </w:t>
      </w:r>
      <w:r>
        <w:t xml:space="preserve">is not without significant challenges. Bureaucracy remains a primary obstacle, with frequent changes in legislation requiring continuous education and adaptation.</w:t>
      </w:r>
    </w:p>
    <w:bookmarkStart w:id="28" w:name="digital-transformation"/>
    <w:p>
      <w:pPr>
        <w:pStyle w:val="Heading3"/>
      </w:pPr>
      <w:r>
        <w:t xml:space="preserve">4.1 Digital Transformation</w:t>
      </w:r>
    </w:p>
    <w:p>
      <w:pPr>
        <w:pStyle w:val="FirstParagraph"/>
      </w:pPr>
      <w:r>
        <w:t xml:space="preserve">The Spanish government has aggressively pushed for the digitalization of tax administration through "Sede Electrónica". An</w:t>
      </w:r>
      <w:r>
        <w:t xml:space="preserve"> </w:t>
      </w:r>
      <w:r>
        <w:t xml:space="preserve">Accountant</w:t>
      </w:r>
      <w:r>
        <w:t xml:space="preserve"> </w:t>
      </w:r>
      <w:r>
        <w:t xml:space="preserve">must be proficient in navigating these online platforms, managing digital certificates, and ensuring that clients are fully digitized to avoid penalties associated with non-compliance in electronic reporting.</w:t>
      </w:r>
    </w:p>
    <w:bookmarkEnd w:id="28"/>
    <w:bookmarkStart w:id="29" w:name="language-and-cultural-nuances"/>
    <w:p>
      <w:pPr>
        <w:pStyle w:val="Heading3"/>
      </w:pPr>
      <w:r>
        <w:t xml:space="preserve">4.2 Language and Cultural Nuances</w:t>
      </w:r>
    </w:p>
    <w:p>
      <w:pPr>
        <w:pStyle w:val="FirstParagraph"/>
      </w:pPr>
      <w:r>
        <w:t xml:space="preserve">In</w:t>
      </w:r>
      <w:r>
        <w:t xml:space="preserve"> </w:t>
      </w:r>
      <w:r>
        <w:t xml:space="preserve">Spain Valencia</w:t>
      </w:r>
      <w:r>
        <w:t xml:space="preserve">, particularly in legal and tax documents, the Valencian language (Catalan) is often used alongside Spanish. While business accounts are typically maintained in Spanish, understanding local administrative requirements may necessitate bilingual proficiency. An</w:t>
      </w:r>
      <w:r>
        <w:t xml:space="preserve"> </w:t>
      </w:r>
      <w:r>
        <w:t xml:space="preserve">Accountant</w:t>
      </w:r>
      <w:r>
        <w:t xml:space="preserve"> </w:t>
      </w:r>
      <w:r>
        <w:t xml:space="preserve">serving international clients must bridge this linguistic gap while maintaining strict accuracy in financial terminology.</w:t>
      </w:r>
    </w:p>
    <w:bookmarkEnd w:id="29"/>
    <w:bookmarkEnd w:id="30"/>
    <w:bookmarkStart w:id="32" w:name="conclusion"/>
    <w:p>
      <w:pPr>
        <w:pStyle w:val="Heading2"/>
      </w:pPr>
      <w:r>
        <w:t xml:space="preserve">5. Conclusion</w:t>
      </w:r>
    </w:p>
    <w:p>
      <w:pPr>
        <w:pStyle w:val="FirstParagraph"/>
      </w:pPr>
      <w:r>
        <w:t xml:space="preserve">This report confirms that the role of an</w:t>
      </w:r>
      <w:r>
        <w:t xml:space="preserve"> </w:t>
      </w:r>
      <w:r>
        <w:t xml:space="preserve">Accountant</w:t>
      </w:r>
      <w:r>
        <w:t xml:space="preserve"> </w:t>
      </w:r>
      <w:r>
        <w:t xml:space="preserve">in</w:t>
      </w:r>
      <w:r>
        <w:t xml:space="preserve"> </w:t>
      </w:r>
      <w:r>
        <w:t xml:space="preserve">Spain Valencia</w:t>
      </w:r>
      <w:r>
        <w:t xml:space="preserve"> </w:t>
      </w:r>
      <w:r>
        <w:t xml:space="preserve">is multifaceted, requiring a deep understanding of both national fiscal policy and regional economic incentives. The complexity arises not only from the volume of transactions but from the specific legal obligations tied to the Valencian identity, including local taxes and digital compliance mandates.</w:t>
      </w:r>
    </w:p>
    <w:p>
      <w:pPr>
        <w:pStyle w:val="BodyText"/>
      </w:pPr>
      <w:r>
        <w:t xml:space="preserve">To succeed in this environment, an</w:t>
      </w:r>
      <w:r>
        <w:t xml:space="preserve"> </w:t>
      </w:r>
      <w:r>
        <w:t xml:space="preserve">Accountant</w:t>
      </w:r>
      <w:r>
        <w:t xml:space="preserve"> </w:t>
      </w:r>
      <w:r>
        <w:t xml:space="preserve">must adopt a proactive rather than reactive approach. This involves leveraging technology for efficiency, staying abreast of legislative updates from both Madrid and Valencia, and providing strategic advice that goes beyond simple bookkeeping. The financial health of businesses in</w:t>
      </w:r>
      <w:r>
        <w:t xml:space="preserve"> </w:t>
      </w:r>
      <w:r>
        <w:t xml:space="preserve">Spain Valencia</w:t>
      </w:r>
      <w:r>
        <w:t xml:space="preserve"> </w:t>
      </w:r>
      <w:r>
        <w:t xml:space="preserve">depends heavily on the precision and expertise of their accounting professionals.</w:t>
      </w:r>
    </w:p>
    <w:p>
      <w:pPr>
        <w:pStyle w:val="BodyText"/>
      </w:pPr>
      <w:r>
        <w:t xml:space="preserve">Future research should focus on the impact of emerging technologies such as Artificial Intelligence on automated tax filing processes within the Valencian region, further streamlining the duties currently performed by human</w:t>
      </w:r>
      <w:r>
        <w:t xml:space="preserve"> </w:t>
      </w:r>
      <w:r>
        <w:t xml:space="preserve">Accountant</w:t>
      </w:r>
      <w:r>
        <w:t xml:space="preserve">s. However, for now, human expertise in interpreting local laws remains indispensable.</w:t>
      </w:r>
    </w:p>
    <w:bookmarkStart w:id="31" w:name="references"/>
    <w:p>
      <w:pPr>
        <w:pStyle w:val="Heading3"/>
      </w:pPr>
      <w:r>
        <w:rPr>
          <w:bCs/>
          <w:b/>
        </w:rPr>
        <w:t xml:space="preserve">References</w:t>
      </w:r>
    </w:p>
    <w:p>
      <w:pPr>
        <w:numPr>
          <w:ilvl w:val="0"/>
          <w:numId w:val="1001"/>
        </w:numPr>
        <w:pStyle w:val="Compact"/>
      </w:pPr>
      <w:r>
        <w:rPr>
          <w:bCs/>
          <w:b/>
        </w:rPr>
        <w:t xml:space="preserve">Tribunal Económico-Administrativo Regional de Valencia:</w:t>
      </w:r>
      <w:r>
        <w:t xml:space="preserve"> </w:t>
      </w:r>
      <w:r>
        <w:t xml:space="preserve">Directives on regional tax interpretation.</w:t>
      </w:r>
    </w:p>
    <w:p>
      <w:pPr>
        <w:numPr>
          <w:ilvl w:val="0"/>
          <w:numId w:val="1001"/>
        </w:numPr>
        <w:pStyle w:val="Compact"/>
      </w:pPr>
      <w:r>
        <w:rPr>
          <w:bCs/>
          <w:b/>
        </w:rPr>
        <w:t xml:space="preserve">Dirección General de Tributos:</w:t>
      </w:r>
      <w:r>
        <w:t xml:space="preserve"> </w:t>
      </w:r>
      <w:r>
        <w:t xml:space="preserve">National guidelines for IVA and Corporate Tax compliance.</w:t>
      </w:r>
    </w:p>
    <w:p>
      <w:pPr>
        <w:numPr>
          <w:ilvl w:val="0"/>
          <w:numId w:val="1001"/>
        </w:numPr>
        <w:pStyle w:val="Compact"/>
      </w:pPr>
      <w:r>
        <w:rPr>
          <w:bCs/>
          <w:b/>
        </w:rPr>
        <w:t xml:space="preserve">Colegio Oficial de Economistas de Valencia:</w:t>
      </w:r>
      <w:r>
        <w:t xml:space="preserve"> </w:t>
      </w:r>
      <w:r>
        <w:t xml:space="preserve">Best practices for local economic management.</w:t>
      </w:r>
    </w:p>
    <w:bookmarkEnd w:id="31"/>
    <w:p>
      <w:pPr>
        <w:pStyle w:val="FirstParagraph"/>
      </w:pPr>
      <w:r>
        <w:t xml:space="preserv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Accountant Services in Spain Valencia</dc:title>
  <dc:creator/>
  <dc:language>en</dc:language>
  <cp:keywords/>
  <dcterms:created xsi:type="dcterms:W3CDTF">2026-07-29T14:21:08Z</dcterms:created>
  <dcterms:modified xsi:type="dcterms:W3CDTF">2026-07-29T14:21:08Z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