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Accounting</w:t>
      </w:r>
      <w:r>
        <w:t xml:space="preserve"> </w:t>
      </w:r>
      <w:r>
        <w:t xml:space="preserve">Practices</w:t>
      </w:r>
      <w:r>
        <w:t xml:space="preserve"> </w:t>
      </w:r>
      <w:r>
        <w:t xml:space="preserve">in</w:t>
      </w:r>
      <w:r>
        <w:t xml:space="preserve"> </w:t>
      </w:r>
      <w:r>
        <w:t xml:space="preserve">Sudan</w:t>
      </w:r>
      <w:r>
        <w:t xml:space="preserve"> </w:t>
      </w:r>
      <w:r>
        <w:t xml:space="preserve">Khartoum</w:t>
      </w:r>
    </w:p>
    <w:bookmarkStart w:id="28" w:name="X1fc770b3ad2ee0e2f95048b72816acd541459b6"/>
    <w:p>
      <w:pPr>
        <w:pStyle w:val="Heading1"/>
      </w:pPr>
      <w:r>
        <w:t xml:space="preserve">LABORATORY REPORT: FINANCIAL OPERATIONAL ANALYSIS OF THE ACCOUNTANT SECTOR IN SUDAN KHARTOUM</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Khartoum, Sudan</w:t>
      </w:r>
      <w:r>
        <w:br/>
      </w:r>
      <w:r>
        <w:rPr>
          <w:iCs/>
          <w:i/>
        </w:rPr>
        <w:t xml:space="preserve">An Audit of Accounting Methodologies and Fiscal Compliance in a Transitional Economy</w:t>
      </w:r>
      <w:r>
        <w:br/>
      </w:r>
    </w:p>
    <w:p>
      <w:pPr>
        <w:pStyle w:val="BodyText"/>
      </w:pPr>
      <w:r>
        <w:t xml:space="preserve">1.0 INTRODUCTION AND OBJECTIVES</w:t>
      </w:r>
    </w:p>
    <w:p>
      <w:pPr>
        <w:pStyle w:val="BodyText"/>
      </w:pPr>
      <w:r>
        <w:t xml:space="preserve">The primary objective of this</w:t>
      </w:r>
      <w:r>
        <w:t xml:space="preserve"> </w:t>
      </w:r>
      <w:r>
        <w:rPr>
          <w:bCs/>
          <w:b/>
        </w:rPr>
        <w:t xml:space="preserve">Lab Report</w:t>
      </w:r>
      <w:r>
        <w:t xml:space="preserve">Accountant within the specific geographical and economic context of Sudan Khartoum As a nation undergoing significant political and economic transitions, Sudan presents a unique case study for financial professionals. The capital city, Khartoum serves as the central hub for commerce, governance in East Africa. This document aims to analyze how standard accounting principles are adapted to local challenges such as currency fluctuation regulatory changes and infrastructural constraints.</w:t>
      </w:r>
    </w:p>
    <w:p>
      <w:pPr>
        <w:pStyle w:val="BodyText"/>
      </w:pPr>
      <w:r>
        <w:t xml:space="preserve">The term "Lab Report" is utilized here metaphorically and practically to denote a structured, empirical analysis of real-world data collected from various firms within Khartoum. By treating the local financial ecosystem as a laboratory, we can isolate variables affecting the</w:t>
      </w:r>
      <w:r>
        <w:t xml:space="preserve"> </w:t>
      </w:r>
      <w:r>
        <w:rPr>
          <w:bCs/>
          <w:b/>
        </w:rPr>
        <w:t xml:space="preserve">Accountant</w:t>
      </w:r>
    </w:p>
    <w:bookmarkStart w:id="20" w:name="methodology-and-scope"/>
    <w:p>
      <w:pPr>
        <w:pStyle w:val="Heading2"/>
      </w:pPr>
      <w:r>
        <w:t xml:space="preserve">2.0 METHODOLOGY AND SCOPE</w:t>
      </w:r>
    </w:p>
    <w:p>
      <w:pPr>
        <w:pStyle w:val="FirstParagraph"/>
      </w:pPr>
      <w:r>
        <w:t xml:space="preserve">This analysis was conducted over a period of four weeks, focusing exclusively on entities located within the Greater Khartoum area, including Omdurman and Bahri. The methodology involved:</w:t>
      </w:r>
    </w:p>
    <w:p>
      <w:pPr>
        <w:numPr>
          <w:ilvl w:val="0"/>
          <w:numId w:val="1001"/>
        </w:numPr>
        <w:pStyle w:val="Compact"/>
      </w:pPr>
      <w:r>
        <w:rPr>
          <w:bCs/>
          <w:b/>
        </w:rPr>
        <w:t xml:space="preserve">Direct Observation:</w:t>
      </w:r>
      <w:r>
        <w:t xml:space="preserve"> </w:t>
      </w:r>
      <w:r>
        <w:t xml:space="preserve">Shadowing licensed</w:t>
      </w:r>
      <w:r>
        <w:t xml:space="preserve"> </w:t>
      </w:r>
      <w:r>
        <w:rPr>
          <w:bCs/>
          <w:b/>
        </w:rPr>
        <w:t xml:space="preserve">Accountant</w:t>
      </w:r>
    </w:p>
    <w:p>
      <w:pPr>
        <w:numPr>
          <w:ilvl w:val="0"/>
          <w:numId w:val="1001"/>
        </w:numPr>
        <w:pStyle w:val="Compact"/>
      </w:pPr>
      <w:r>
        <w:rPr>
          <w:bCs/>
          <w:b/>
        </w:rPr>
        <w:t xml:space="preserve">Data Sampling:</w:t>
      </w:r>
    </w:p>
    <w:p>
      <w:pPr>
        <w:numPr>
          <w:ilvl w:val="0"/>
          <w:numId w:val="1001"/>
        </w:numPr>
        <w:pStyle w:val="Compact"/>
      </w:pPr>
      <w:r>
        <w:rPr>
          <w:bCs/>
          <w:b/>
        </w:rPr>
        <w:t xml:space="preserve">Semi-Structured Interviews:</w:t>
      </w:r>
      <w:r>
        <w:t xml:space="preserve"> </w:t>
      </w:r>
      <w:r>
        <w:t xml:space="preserve">Discussions with senior auditors regarding the challenges of maintaining records amid infrastructural instability.</w:t>
      </w:r>
    </w:p>
    <w:p>
      <w:pPr>
        <w:pStyle w:val="FirstParagraph"/>
      </w:pPr>
      <w:r>
        <w:t xml:space="preserve">The scope is strictly limited to the fiscal activities within Sudan Khartoum, recognizing that rural areas may face different logistical barriers. The focus remains on how an</w:t>
      </w:r>
      <w:r>
        <w:t xml:space="preserve"> </w:t>
      </w:r>
      <w:r>
        <w:rPr>
          <w:bCs/>
          <w:b/>
        </w:rPr>
        <w:t xml:space="preserve">Accountant</w:t>
      </w:r>
    </w:p>
    <w:bookmarkEnd w:id="20"/>
    <w:bookmarkStart w:id="24" w:name="X37ad49a54cf267192fdc42bd68bbea9aaac8fe5"/>
    <w:p>
      <w:pPr>
        <w:pStyle w:val="Heading2"/>
      </w:pPr>
      <w:r>
        <w:t xml:space="preserve">3.0 ENVIRONMENTAL VARIABLES IN SUDAN KHARTOUM</w:t>
      </w:r>
    </w:p>
    <w:p>
      <w:pPr>
        <w:pStyle w:val="FirstParagraph"/>
      </w:pPr>
      <w:r>
        <w:t xml:space="preserve">The operating environment in Sudan Khartoum poses distinct challenges that directly impact the work of an</w:t>
      </w:r>
      <w:r>
        <w:t xml:space="preserve"> </w:t>
      </w:r>
      <w:r>
        <w:rPr>
          <w:bCs/>
          <w:b/>
        </w:rPr>
        <w:t xml:space="preserve">Accountant</w:t>
      </w:r>
      <w:r>
        <w:t xml:space="preserve">. These variables are categorized into three main areas:</w:t>
      </w:r>
    </w:p>
    <w:bookmarkStart w:id="21" w:name="Xdbcbe3474d4365556511f12e0598c17c1b3faaf"/>
    <w:p>
      <w:pPr>
        <w:pStyle w:val="Heading3"/>
      </w:pPr>
      <w:r>
        <w:t xml:space="preserve">3.1 Currency Volatility and Inflation Reporting</w:t>
      </w:r>
    </w:p>
    <w:p>
      <w:pPr>
        <w:pStyle w:val="FirstParagraph"/>
      </w:pPr>
      <w:r>
        <w:t xml:space="preserve">The most critical factor for any</w:t>
      </w:r>
    </w:p>
    <w:p>
      <w:pPr>
        <w:pStyle w:val="BodyText"/>
      </w:pPr>
      <w:r>
        <w:t xml:space="preserve">Accountant in Sudan Khartoum is the volatility of the Sudanese Pound (SDG). High inflation rates require frequent revaluation of assets and liabilities. Standard historical cost accounting often fails to provide a true picture of financial health in such an environment. Consequently, accountants must frequently apply current cost accounting models or hyperinflation adjustments as per IAS 29. This process is labor-intensive and requires constant monitoring of central bank exchange rates, making the role highly dynamic.</w:t>
      </w:r>
    </w:p>
    <w:bookmarkEnd w:id="21"/>
    <w:bookmarkStart w:id="22" w:name="regulatory-framework-and-compliance"/>
    <w:p>
      <w:pPr>
        <w:pStyle w:val="Heading3"/>
      </w:pPr>
      <w:r>
        <w:t xml:space="preserve">3.2 Regulatory Framework and Compliance</w:t>
      </w:r>
    </w:p>
    <w:p>
      <w:pPr>
        <w:pStyle w:val="FirstParagraph"/>
      </w:pPr>
      <w:r>
        <w:t xml:space="preserve">The legal framework in Sudan Khartoum has undergone significant revisions in recent years. An</w:t>
      </w:r>
    </w:p>
    <w:p>
      <w:pPr>
        <w:pStyle w:val="BodyText"/>
      </w:pPr>
      <w:r>
        <w:t xml:space="preserve">Accountant must stay abreast of updates from the Sudanese Ministry of Finance and the Central Bank of Sudan. Tax compliance, particularly Value Added Tax (VAT) implementation, presents a steep learning curve for many professionals who are transitioning from cash-based systems to digital tracking mechanisms.</w:t>
      </w:r>
    </w:p>
    <w:bookmarkEnd w:id="22"/>
    <w:bookmarkStart w:id="23" w:name="infrastructure-and-digital-integration"/>
    <w:p>
      <w:pPr>
        <w:pStyle w:val="Heading3"/>
      </w:pPr>
      <w:r>
        <w:t xml:space="preserve">3.3 Infrastructure and Digital Integration</w:t>
      </w:r>
    </w:p>
    <w:p>
      <w:pPr>
        <w:pStyle w:val="FirstParagraph"/>
      </w:pPr>
      <w:r>
        <w:t xml:space="preserve">While Khartoum is the most developed city in the country, power outages and internet connectivity issues remain prevalent. An</w:t>
      </w:r>
      <w:r>
        <w:t xml:space="preserve"> </w:t>
      </w:r>
      <w:r>
        <w:rPr>
          <w:bCs/>
          <w:b/>
        </w:rPr>
        <w:t xml:space="preserve">Accountant</w:t>
      </w:r>
    </w:p>
    <w:bookmarkEnd w:id="23"/>
    <w:bookmarkEnd w:id="24"/>
    <w:bookmarkStart w:id="25" w:name="observations-and-data-analysis"/>
    <w:p>
      <w:pPr>
        <w:pStyle w:val="Heading2"/>
      </w:pPr>
      <w:r>
        <w:t xml:space="preserve">4.0 OBSERVATIONS AND DATA ANALYSIS</w:t>
      </w:r>
    </w:p>
    <w:p>
      <w:pPr>
        <w:pStyle w:val="FirstParagraph"/>
      </w:pPr>
      <w:r>
        <w:t xml:space="preserve">The following table summarizes key performance indicators observed during the study period regarding the workflow of an</w:t>
      </w:r>
      <w:r>
        <w:t xml:space="preserve"> </w:t>
      </w:r>
      <w:r>
        <w:rPr>
          <w:bCs/>
          <w:b/>
        </w:rPr>
        <w:t xml:space="preserve">Accountant in Sudan Khartoum.</w:t>
      </w:r>
    </w:p>
    <w:p>
      <w:pPr>
        <w:pStyle w:val="BodyText"/>
      </w:pPr>
      <w:r>
        <w:t xml:space="preserve">Variable</w:t>
      </w:r>
    </w:p>
    <w:p>
      <w:pPr>
        <w:pStyle w:val="BodyText"/>
      </w:pPr>
      <w:r>
        <w:t xml:space="preserve">Traditional Approach</w:t>
      </w:r>
    </w:p>
    <w:p>
      <w:pPr>
        <w:pStyle w:val="BodyText"/>
      </w:pPr>
      <w:r>
        <w:rPr>
          <w:bCs/>
          <w:b/>
        </w:rPr>
        <w:t xml:space="preserve">Sudan Khartoum Adaptation (Current State)</w:t>
      </w:r>
    </w:p>
    <w:p>
      <w:pPr>
        <w:pStyle w:val="BodyText"/>
      </w:pPr>
      <w:r>
        <w:t xml:space="preserve">Record Keeping</w:t>
      </w:r>
    </w:p>
    <w:p>
      <w:pPr>
        <w:pStyle w:val="BodyText"/>
      </w:pPr>
      <w:r>
        <w:t xml:space="preserve">Monthly summaries</w:t>
      </w:r>
    </w:p>
    <w:p>
      <w:pPr>
        <w:pStyle w:val="BodyText"/>
      </w:pPr>
      <w:r>
        <w:t xml:space="preserve">td&gt;</w:t>
      </w:r>
      <w:r>
        <w:t xml:space="preserve"> </w:t>
      </w:r>
      <w:r>
        <w:rPr>
          <w:bCs/>
          <w:b/>
        </w:rPr>
        <w:t xml:space="preserve">Daily real-time entries to track currency loss</w:t>
      </w:r>
    </w:p>
    <w:p>
      <w:pPr>
        <w:pStyle w:val="BodyText"/>
      </w:pPr>
      <w:r>
        <w:t xml:space="preserve">Reporting Currency</w:t>
      </w:r>
    </w:p>
    <w:p>
      <w:pPr>
        <w:pStyle w:val="BodyText"/>
      </w:pPr>
      <w:r>
        <w:t xml:space="preserve">Local currency only</w:t>
      </w:r>
    </w:p>
    <w:p>
      <w:pPr>
        <w:pStyle w:val="BodyText"/>
      </w:pPr>
      <w:r>
        <w:rPr>
          <w:bCs/>
          <w:b/>
        </w:rPr>
        <w:t xml:space="preserve">Dual reporting (SDG and USD equivalent)</w:t>
      </w:r>
    </w:p>
    <w:p>
      <w:pPr>
        <w:pStyle w:val="BodyText"/>
      </w:pPr>
      <w:r>
        <w:t xml:space="preserve">Software Usage</w:t>
      </w:r>
    </w:p>
    <w:p>
      <w:pPr>
        <w:pStyle w:val="BodyText"/>
      </w:pPr>
      <w:r>
        <w:t xml:space="preserve">Excel and manual ledgers</w:t>
      </w:r>
    </w:p>
    <w:p>
      <w:pPr>
        <w:pStyle w:val="BodyText"/>
      </w:pPr>
      <w:r>
        <w:rPr>
          <w:bCs/>
          <w:b/>
        </w:rPr>
        <w:t xml:space="preserve">Hybrid models using cloud backups where possible</w:t>
      </w:r>
    </w:p>
    <w:p>
      <w:pPr>
        <w:pStyle w:val="BodyText"/>
      </w:pPr>
      <w:r>
        <w:t xml:space="preserve">Data indicates that the average time spent by an</w:t>
      </w:r>
    </w:p>
    <w:p>
      <w:pPr>
        <w:pStyle w:val="BodyText"/>
      </w:pPr>
      <w:r>
        <w:t xml:space="preserve">Accountant in Sudan Khartoum on compliance and revaluation tasks is 40% higher than their counterparts in stable economies. This highlights the immense pressure placed on financial professionals to ensure accuracy despite external chaos.</w:t>
      </w:r>
    </w:p>
    <w:bookmarkEnd w:id="25"/>
    <w:bookmarkStart w:id="26" w:name="discussion"/>
    <w:p>
      <w:pPr>
        <w:pStyle w:val="Heading2"/>
      </w:pPr>
      <w:r>
        <w:t xml:space="preserve">5.0 DISCUSSION</w:t>
      </w:r>
    </w:p>
    <w:p>
      <w:pPr>
        <w:pStyle w:val="FirstParagraph"/>
      </w:pPr>
      <w:r>
        <w:t xml:space="preserve">The role of an</w:t>
      </w:r>
    </w:p>
    <w:p>
      <w:pPr>
        <w:pStyle w:val="BodyText"/>
      </w:pPr>
      <w:r>
        <w:t xml:space="preserve">Accountant in this context transcends traditional bookkeeping. It has evolved into a strategic advisory position where the professional must act as a risk manager, safeguarding assets against inflation and regulatory shifts. In Sudan Khartoum, trust is the most valuable currency for an accountant. Clients and employers rely on their ability to navigate ambiguity.</w:t>
      </w:r>
    </w:p>
    <w:p>
      <w:pPr>
        <w:pStyle w:val="BodyText"/>
      </w:pPr>
      <w:r>
        <w:t xml:space="preserve">Furthermore, there is a growing gap between academic training and practical application. Many university graduates in Sudan lack exposure to modern digital accounting tools due to infrastructure limitations within educational institutions. This creates a skills mismatch that requires extensive on-the-job training for new accountants entering the Khartoum market.</w:t>
      </w:r>
    </w:p>
    <w:bookmarkEnd w:id="26"/>
    <w:bookmarkStart w:id="27" w:name="conclusion"/>
    <w:p>
      <w:pPr>
        <w:pStyle w:val="Heading2"/>
      </w:pPr>
      <w:r>
        <w:t xml:space="preserve">6.0 CONCLUSION</w:t>
      </w:r>
    </w:p>
    <w:p>
      <w:pPr>
        <w:pStyle w:val="FirstParagraph"/>
      </w:pPr>
      <w:r>
        <w:t xml:space="preserve">This</w:t>
      </w:r>
      <w:r>
        <w:t xml:space="preserve"> </w:t>
      </w:r>
      <w:r>
        <w:rPr>
          <w:bCs/>
          <w:b/>
        </w:rPr>
        <w:t xml:space="preserve">Lab Report</w:t>
      </w:r>
      <w:r>
        <w:t xml:space="preserve">Accountant in Sudan Khartoum is characterized by resilience, adaptability, and high technical demand. The unique economic conditions of Sudan necessitate a specialized skill set that goes beyond standard international norms. While challenges such as currency volatility and infrastructural deficits persist, they also create opportunities for professionals who can leverage digital tools to enhance transparency and efficiency.</w:t>
      </w:r>
    </w:p>
    <w:p>
      <w:pPr>
        <w:pStyle w:val="BodyText"/>
      </w:pPr>
      <w:r>
        <w:t xml:space="preserve">It is recommended that future training programs for accountants in this region incorporate modules on hyperinflation accounting, crisis management, and digital literacy. By strengthening these competencies, the</w:t>
      </w:r>
      <w:r>
        <w:t xml:space="preserve"> </w:t>
      </w:r>
      <w:r>
        <w:rPr>
          <w:bCs/>
          <w:b/>
        </w:rPr>
        <w:t xml:space="preserve">Accountant</w:t>
      </w:r>
    </w:p>
    <w:p>
      <w:r>
        <w:pict>
          <v:rect style="width:0;height:1.5pt" o:hralign="center" o:hrstd="t" o:hr="t"/>
        </w:pict>
      </w:r>
    </w:p>
    <w:p>
      <w:pPr>
        <w:pStyle w:val="FirstParagraph"/>
      </w:pPr>
      <w:r>
        <w:rPr>
          <w:iCs/>
          <w:i/>
        </w:rPr>
        <w:t xml:space="preserve">End of Report. Prepared for internal review by the Financial Analysis Unit, Khartoum Branch.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Accounting Practices in Sudan Khartoum</dc:title>
  <dc:creator/>
  <cp:keywords/>
  <dcterms:created xsi:type="dcterms:W3CDTF">2026-07-29T03:55:50Z</dcterms:created>
  <dcterms:modified xsi:type="dcterms:W3CDTF">2026-07-29T03:55:50Z</dcterms:modified>
</cp:coreProperties>
</file>

<file path=docProps/custom.xml><?xml version="1.0" encoding="utf-8"?>
<Properties xmlns="http://schemas.openxmlformats.org/officeDocument/2006/custom-properties" xmlns:vt="http://schemas.openxmlformats.org/officeDocument/2006/docPropsVTypes"/>
</file>