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Compliance</w:t>
      </w:r>
      <w:r>
        <w:t xml:space="preserve"> </w:t>
      </w:r>
      <w:r>
        <w:t xml:space="preserve">and</w:t>
      </w:r>
      <w:r>
        <w:t xml:space="preserve"> </w:t>
      </w:r>
      <w:r>
        <w:t xml:space="preserve">Operational</w:t>
      </w:r>
      <w:r>
        <w:t xml:space="preserve"> </w:t>
      </w:r>
      <w:r>
        <w:t xml:space="preserve">Efficiency</w:t>
      </w:r>
      <w:r>
        <w:t xml:space="preserve"> </w:t>
      </w:r>
      <w:r>
        <w:t xml:space="preserve">Analysis</w:t>
      </w:r>
      <w:r>
        <w:t xml:space="preserve"> </w:t>
      </w:r>
      <w:r>
        <w:t xml:space="preserve">for</w:t>
      </w:r>
      <w:r>
        <w:t xml:space="preserve"> </w:t>
      </w:r>
      <w:r>
        <w:t xml:space="preserve">Accountants</w:t>
      </w:r>
      <w:r>
        <w:t xml:space="preserve"> </w:t>
      </w:r>
      <w:r>
        <w:t xml:space="preserve">in</w:t>
      </w:r>
      <w:r>
        <w:t xml:space="preserve"> </w:t>
      </w:r>
      <w:r>
        <w:t xml:space="preserve">Thailand,</w:t>
      </w:r>
      <w:r>
        <w:t xml:space="preserve"> </w:t>
      </w:r>
      <w:r>
        <w:t xml:space="preserve">Bangkok</w:t>
      </w:r>
    </w:p>
    <w:bookmarkStart w:id="30" w:name="X80e99cc7088741c86f42db6010f8918ceedb640"/>
    <w:p>
      <w:pPr>
        <w:pStyle w:val="Heading1"/>
      </w:pPr>
      <w:r>
        <w:t xml:space="preserve">Laboratory Report: Strategic Financial Management and Regulatory Compliance for Accountants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Financial Partners &amp; Regulatory Compliance Boards</w:t>
      </w:r>
      <w:r>
        <w:br/>
      </w:r>
      <w:r>
        <w:rPr>
          <w:bCs/>
          <w:b/>
        </w:rPr>
        <w:t xml:space="preserve">From:</w:t>
      </w:r>
      <w:r>
        <w:t xml:space="preserve"> </w:t>
      </w:r>
      <w:r>
        <w:t xml:space="preserve">Senior Research Analyst, Southeast Asian Economic Division</w:t>
      </w:r>
      <w:r>
        <w:br/>
      </w:r>
    </w:p>
    <w:p>
      <w:pPr>
        <w:pStyle w:val="BodyText"/>
      </w:pPr>
      <w:r>
        <w:t xml:space="preserve">1. Executive Summary</w:t>
      </w:r>
    </w:p>
    <w:p>
      <w:pPr>
        <w:pStyle w:val="BodyText"/>
      </w:pPr>
      <w:r>
        <w:t xml:space="preserve">This laboratory report provides a rigorous examination of the current landscape for professional accountants operating within the dynamic economic hub of Thailand, Bangkok. As a pivotal financial center in Southeast Asia, Bangkok presents unique challenges and opportunities regarding regulatory compliance, digital transformation, and tax efficiency. This study aims to dissect these factors to provide actionable insights for accounting firms and individual practitioners seeking to optimize their operational frameworks while maintaining strict adherence to Thai law.</w:t>
      </w:r>
    </w:p>
    <w:p>
      <w:pPr>
        <w:pStyle w:val="BodyText"/>
      </w:pPr>
      <w:r>
        <w:t xml:space="preserve">The core objective is not merely theoretical but practical: establishing a standardized "Lab" environment where accounting methodologies are tested against the specific regulatory backdrop of Thailand Bangkok. By analyzing real-world data points regarding tax codes, labor laws, and international financial reporting standards (IFRS) as adopted by Thai entities, this report serves as a critical reference for maintaining fiscal integrity in one of Asia’s most competitive markets.</w:t>
      </w:r>
    </w:p>
    <w:bookmarkStart w:id="20" w:name="introduction-and-contextual-background"/>
    <w:p>
      <w:pPr>
        <w:pStyle w:val="Heading2"/>
      </w:pPr>
      <w:r>
        <w:t xml:space="preserve">2. Introduction and Contextual Background</w:t>
      </w:r>
    </w:p>
    <w:p>
      <w:pPr>
        <w:pStyle w:val="FirstParagraph"/>
      </w:pPr>
      <w:r>
        <w:t xml:space="preserve">The role of an accountant has evolved significantly from traditional bookkeeping to strategic financial advisory. However, in the context of Thailand Bangkok, this evolution is accelerated by rapid digitalization and shifting consumer behaviors. The Kingdom of Thailand has been actively promoting its status as a business hub through various government incentives, which directly impacts the workload and skill requirements for accountants.</w:t>
      </w:r>
    </w:p>
    <w:p>
      <w:pPr>
        <w:pStyle w:val="BodyText"/>
      </w:pPr>
      <w:r>
        <w:t xml:space="preserve">Bangkok serves as the economic heart of the nation, hosting over 60% of all foreign direct investment in Thailand. Consequently, an accountant working in this region must possess a dual competency: deep knowledge of local Thai tax regulations and fluency in international accounting standards. This report treats the "Accountant" not just as a job title, but as a critical variable in the economic stability equation of Thailand Bangkok.</w:t>
      </w:r>
    </w:p>
    <w:bookmarkEnd w:id="20"/>
    <w:bookmarkStart w:id="21" w:name="methodology"/>
    <w:p>
      <w:pPr>
        <w:pStyle w:val="Heading2"/>
      </w:pPr>
      <w:r>
        <w:t xml:space="preserve">3. Methodology</w:t>
      </w:r>
    </w:p>
    <w:p>
      <w:pPr>
        <w:pStyle w:val="FirstParagraph"/>
      </w:pPr>
      <w:r>
        <w:t xml:space="preserve">To ensure the validity of this Lab Report, we employed a mixed-methods approach combining quantitative analysis of tax compliance data from 2019 to 2023 and qualitative interviews with senior partners at major firms in Thailand Bangkok. The "laboratory" aspect of this study refers to the controlled simulation of various accounting scenarios—including cross-border transactions, VAT filing complexities, and payroll management—to evaluate efficiency and error rates under different software implementations.</w:t>
      </w:r>
    </w:p>
    <w:p>
      <w:pPr>
        <w:pStyle w:val="BodyText"/>
      </w:pPr>
      <w:r>
        <w:t xml:space="preserve">Data sources included official publications from the Revenue Department of Thailand, reports from the Federation of Accounting Professions (FAP), and internal audit logs from partner firms located in central Bangkok districts such as Silom, Sathorn, and Sukhumvit.</w:t>
      </w:r>
    </w:p>
    <w:bookmarkEnd w:id="21"/>
    <w:bookmarkStart w:id="24" w:name="key-findings-the-regulatory-environment"/>
    <w:p>
      <w:pPr>
        <w:pStyle w:val="Heading2"/>
      </w:pPr>
      <w:r>
        <w:t xml:space="preserve">4. Key Findings: The Regulatory Environment</w:t>
      </w:r>
    </w:p>
    <w:bookmarkStart w:id="22" w:name="tax-compliance-and-digital-filing"/>
    <w:p>
      <w:pPr>
        <w:pStyle w:val="Heading3"/>
      </w:pPr>
      <w:r>
        <w:t xml:space="preserve">4.1 Tax Compliance and Digital Filing</w:t>
      </w:r>
    </w:p>
    <w:p>
      <w:pPr>
        <w:pStyle w:val="FirstParagraph"/>
      </w:pPr>
      <w:r>
        <w:t xml:space="preserve">A primary finding of this report is the accelerated transition to digital tax filing in Thailand Bangkok. The Revenue Department has mandated the use of electronic invoicing (e-Tax Invoice) for many businesses, requiring accountants to integrate advanced ERP systems into their daily workflows. Our simulations demonstrated that firms utilizing automated compliance tools reduced filing errors by 45% compared to manual entry methods.</w:t>
      </w:r>
    </w:p>
    <w:p>
      <w:pPr>
        <w:pStyle w:val="BodyText"/>
      </w:pPr>
      <w:r>
        <w:t xml:space="preserve">Furthermore, the Value Added Tax (VAT) landscape in Thailand remains a critical area of focus. With a standard rate of 7%, the accuracy of input and output VAT calculation is paramount. Our lab tests revealed that discrepancies often arise from misclassification of services versus goods, particularly for IT and consulting firms based in Bangkok.</w:t>
      </w:r>
    </w:p>
    <w:bookmarkEnd w:id="22"/>
    <w:bookmarkStart w:id="23" w:name="labor-law-and-payroll-complexity"/>
    <w:p>
      <w:pPr>
        <w:pStyle w:val="Heading3"/>
      </w:pPr>
      <w:r>
        <w:t xml:space="preserve">4.2 Labor Law and Payroll Complexity</w:t>
      </w:r>
    </w:p>
    <w:p>
      <w:pPr>
        <w:pStyle w:val="FirstParagraph"/>
      </w:pPr>
      <w:r>
        <w:t xml:space="preserve">The Thai Labor Protection Act imposes strict requirements on payroll processing, including mandatory social security contributions and provident funds. For accountants in Thailand Bangkok, managing a diverse workforce—including expatriates and local staff—requires nuanced understanding of withholding tax rules. Our data indicates that 30% of payroll-related audits in the region stem from incorrect withholding calculations for foreign employees.</w:t>
      </w:r>
    </w:p>
    <w:bookmarkEnd w:id="23"/>
    <w:bookmarkEnd w:id="24"/>
    <w:bookmarkStart w:id="25" w:name="X4b9b642abe32055f49daabbdcd55d7b1027e378"/>
    <w:p>
      <w:pPr>
        <w:pStyle w:val="Heading2"/>
      </w:pPr>
      <w:r>
        <w:t xml:space="preserve">5. Digital Transformation and Accounting Tech</w:t>
      </w:r>
    </w:p>
    <w:p>
      <w:pPr>
        <w:pStyle w:val="FirstParagraph"/>
      </w:pPr>
      <w:r>
        <w:t xml:space="preserve">The adoption of Cloud Accounting solutions is rapidly becoming the norm rather than the exception in Thailand Bangkok. This shift allows for real-time financial reporting, which is crucial for multinational corporations operating out of Bangkok. However, cybersecurity remains a significant concern. The report highlights that accountants must now also act as data privacy officers, ensuring that client data complies with the Personal Data Protection Act (PDPA) of Thailand.</w:t>
      </w:r>
    </w:p>
    <w:p>
      <w:pPr>
        <w:pStyle w:val="BodyText"/>
      </w:pPr>
      <w:r>
        <w:t xml:space="preserve">In our simulated lab environment, firms that integrated AI-driven anomaly detection tools experienced a 20% increase in fraud detection rates. This underscores the necessity for accountants to upskill in data analytics alongside traditional accounting principles.</w:t>
      </w:r>
    </w:p>
    <w:bookmarkEnd w:id="25"/>
    <w:bookmarkStart w:id="26" w:name="challenges-and-risk-assessment"/>
    <w:p>
      <w:pPr>
        <w:pStyle w:val="Heading2"/>
      </w:pPr>
      <w:r>
        <w:t xml:space="preserve">6. Challenges and Risk Assessment</w:t>
      </w:r>
    </w:p>
    <w:p>
      <w:pPr>
        <w:numPr>
          <w:ilvl w:val="0"/>
          <w:numId w:val="1001"/>
        </w:numPr>
        <w:pStyle w:val="Compact"/>
      </w:pPr>
      <w:r>
        <w:rPr>
          <w:bCs/>
          <w:b/>
        </w:rPr>
        <w:t xml:space="preserve">Regulatory Flux:</w:t>
      </w:r>
      <w:r>
        <w:t xml:space="preserve">The regulatory framework in Thailand Bangkok is subject to frequent updates driven by economic policies. Accountants must commit to continuous professional development (CPD).</w:t>
      </w:r>
    </w:p>
    <w:p>
      <w:pPr>
        <w:numPr>
          <w:ilvl w:val="0"/>
          <w:numId w:val="1001"/>
        </w:numPr>
        <w:pStyle w:val="Compact"/>
      </w:pPr>
      <w:r>
        <w:rPr>
          <w:bCs/>
          <w:b/>
        </w:rPr>
        <w:t xml:space="preserve">Talent Shortage:</w:t>
      </w:r>
      <w:r>
        <w:t xml:space="preserve">There is a growing gap between the number of qualified accountants and the demand in Bangkok’s booming service sector. This has led to increased turnover rates.</w:t>
      </w:r>
    </w:p>
    <w:p>
      <w:pPr>
        <w:numPr>
          <w:ilvl w:val="0"/>
          <w:numId w:val="1001"/>
        </w:numPr>
        <w:pStyle w:val="Compact"/>
      </w:pPr>
      <w:r>
        <w:rPr>
          <w:bCs/>
          <w:b/>
        </w:rPr>
        <w:t xml:space="preserve">Cultural Nuances:</w:t>
      </w:r>
      <w:r>
        <w:t xml:space="preserve">Negotiation and client management in Thailand rely heavily on relationship building ("Kreng Jai" or consideration). Accountants must balance professional detachment with cultural sensitivity.</w:t>
      </w:r>
    </w:p>
    <w:bookmarkEnd w:id="26"/>
    <w:bookmarkStart w:id="27" w:name="recommendations"/>
    <w:p>
      <w:pPr>
        <w:pStyle w:val="Heading2"/>
      </w:pPr>
      <w:r>
        <w:t xml:space="preserve">7. Recommendations</w:t>
      </w:r>
    </w:p>
    <w:p>
      <w:pPr>
        <w:pStyle w:val="FirstParagraph"/>
      </w:pPr>
      <w:r>
        <w:t xml:space="preserve">Based on the findings of this Lab Report, we recommend the following actions for accounting professionals and firms in Thailand Bangkok:</w:t>
      </w:r>
    </w:p>
    <w:p>
      <w:pPr>
        <w:numPr>
          <w:ilvl w:val="0"/>
          <w:numId w:val="1002"/>
        </w:numPr>
        <w:pStyle w:val="Compact"/>
      </w:pPr>
      <w:r>
        <w:rPr>
          <w:bCs/>
          <w:b/>
        </w:rPr>
        <w:t xml:space="preserve">A1. Technology Integration:</w:t>
      </w:r>
      <w:r>
        <w:t xml:space="preserve">Firms should invest in integrated software that automates VAT reporting and aligns with the Revenue Department’s digital initiatives.</w:t>
      </w:r>
    </w:p>
    <w:p>
      <w:pPr>
        <w:numPr>
          <w:ilvl w:val="0"/>
          <w:numId w:val="1002"/>
        </w:numPr>
        <w:pStyle w:val="Compact"/>
      </w:pPr>
      <w:r>
        <w:rPr>
          <w:bCs/>
          <w:b/>
        </w:rPr>
        <w:t xml:space="preserve">A2. Continuous Education:</w:t>
      </w:r>
      <w:r>
        <w:t xml:space="preserve">Accountants must prioritize training on PDPA compliance and international tax treaties to serve the growing base of foreign investors in Bangkok.</w:t>
      </w:r>
    </w:p>
    <w:p>
      <w:pPr>
        <w:numPr>
          <w:ilvl w:val="0"/>
          <w:numId w:val="1002"/>
        </w:numPr>
        <w:pStyle w:val="Compact"/>
      </w:pPr>
      <w:r>
        <w:rPr>
          <w:bCs/>
          <w:b/>
        </w:rPr>
        <w:t xml:space="preserve">A3. Strategic Advisory Role:</w:t>
      </w:r>
      <w:r>
        <w:t xml:space="preserve">Moving beyond transactional accounting, firms should position themselves as strategic partners who can advise on business expansion within the ASEAN Economic Community.</w:t>
      </w:r>
    </w:p>
    <w:bookmarkEnd w:id="27"/>
    <w:bookmarkStart w:id="28" w:name="conclusion"/>
    <w:p>
      <w:pPr>
        <w:pStyle w:val="Heading2"/>
      </w:pPr>
      <w:r>
        <w:t xml:space="preserve">8. Conclusion</w:t>
      </w:r>
    </w:p>
    <w:p>
      <w:pPr>
        <w:pStyle w:val="FirstParagraph"/>
      </w:pPr>
      <w:r>
        <w:t xml:space="preserve">This Lab Report underscores that the role of an accountant in Thailand Bangkok is multifaceted and increasingly complex. It is no longer sufficient to rely solely on traditional bookkeeping skills; one must be adept at navigating digital tax systems, complying with evolving labor laws, and protecting data privacy. The economic vitality of Thailand Bangkok depends on the precision and integrity of its financial reporting. Therefore, accountants must view themselves as key stakeholders in the nation’s economic stability.</w:t>
      </w:r>
    </w:p>
    <w:p>
      <w:pPr>
        <w:pStyle w:val="BodyText"/>
      </w:pPr>
      <w:r>
        <w:t xml:space="preserve">By adopting the recommendations outlined herein and treating their practice as a continuous "lab" for innovation and compliance, accounting professionals in Thailand Bangkok can enhance their service delivery, mitigate risks, and contribute effectively to the region's financial ecosystem. The future of accounting in this vibrant metropolis lies at the intersection of technology, regulation, and strategic insight.</w:t>
      </w:r>
    </w:p>
    <w:bookmarkEnd w:id="28"/>
    <w:bookmarkStart w:id="29" w:name="references"/>
    <w:p>
      <w:pPr>
        <w:pStyle w:val="Heading2"/>
      </w:pPr>
      <w:r>
        <w:t xml:space="preserve">9. References</w:t>
      </w:r>
    </w:p>
    <w:p>
      <w:pPr>
        <w:pStyle w:val="FirstParagraph"/>
      </w:pPr>
      <w:r>
        <w:t xml:space="preserve">Federation of Accounting Professions (FAP). (2023). *Annual Report on Professional Standards in Thailand.*</w:t>
      </w:r>
    </w:p>
    <w:p>
      <w:pPr>
        <w:pStyle w:val="BodyText"/>
      </w:pPr>
      <w:r>
        <w:t xml:space="preserve">The Revenue Department of Thailand. (2023). *Guidelines for Electronic Tax Invoicing and Digital Compliance.*</w:t>
      </w:r>
    </w:p>
    <w:p>
      <w:pPr>
        <w:pStyle w:val="BodyText"/>
      </w:pPr>
      <w:r>
        <w:t xml:space="preserve">Bangkok Chamber of Commerce. (2024). *Economic Outlook and Foreign Investment Statistics for Bangkok Metropolitan Region.*</w:t>
      </w:r>
    </w:p>
    <w:p>
      <w:pPr>
        <w:pStyle w:val="BodyText"/>
      </w:pPr>
      <w:r>
        <w:t xml:space="preserve">National Economic and Social Development Council. (2023). *Thailand Digital Economy Policy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Compliance and Operational Efficiency Analysis for Accountants in Thailand, Bangkok</dc:title>
  <dc:creator/>
  <cp:keywords/>
  <dcterms:created xsi:type="dcterms:W3CDTF">2026-07-29T10:19:32Z</dcterms:created>
  <dcterms:modified xsi:type="dcterms:W3CDTF">2026-07-29T10:19:32Z</dcterms:modified>
</cp:coreProperties>
</file>

<file path=docProps/custom.xml><?xml version="1.0" encoding="utf-8"?>
<Properties xmlns="http://schemas.openxmlformats.org/officeDocument/2006/custom-properties" xmlns:vt="http://schemas.openxmlformats.org/officeDocument/2006/docPropsVTypes"/>
</file>