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Accountant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Ankara</w:t>
      </w:r>
    </w:p>
    <w:p>
      <w:pPr>
        <w:pStyle w:val="FirstParagraph"/>
      </w:pPr>
      <w:r>
        <w:t xml:space="preserve">```html</w:t>
      </w:r>
    </w:p>
    <w:bookmarkStart w:id="20" w:name="X1b0b8fc464371c47f1df5c7900af34bfbc27035"/>
    <w:p>
      <w:pPr>
        <w:pStyle w:val="Heading1"/>
      </w:pPr>
      <w:r>
        <w:t xml:space="preserve">Laboratory Report: Professional Competency and Regulatory Framework of the Accountant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Accountant Analysis in Turkey, Ankara</dc:title>
  <dc:creator/>
  <dc:language>en</dc:language>
  <cp:keywords/>
  <dcterms:created xsi:type="dcterms:W3CDTF">2026-09-26T13:10:52Z</dcterms:created>
  <dcterms:modified xsi:type="dcterms:W3CDTF">2026-09-26T13:10:52Z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