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Accounting</w:t>
      </w:r>
      <w:r>
        <w:t xml:space="preserve"> </w:t>
      </w:r>
      <w:r>
        <w:t xml:space="preserve">Practices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1" w:name="X62d57c24407282869e036e542241462607bfcde"/>
    <w:p>
      <w:pPr>
        <w:pStyle w:val="Heading1"/>
      </w:pPr>
      <w:r>
        <w:t xml:space="preserve">Laboratory Analysis Report: The Role and Compliance of an Accountant in United Kingdom Birmingham</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Birmingham, West Midlands, United Kingdom</w:t>
      </w:r>
    </w:p>
    <w:p>
      <w:pPr>
        <w:pStyle w:val="BodyText"/>
      </w:pPr>
      <w:r>
        <w:rPr>
          <w:bCs/>
          <w:b/>
        </w:rPr>
        <w:t xml:space="preserve">ID No.:</w:t>
      </w:r>
      <w:r>
        <w:t xml:space="preserve">KW-ACCT-890-BHM</w:t>
      </w:r>
    </w:p>
    <w:p>
      <w:pPr>
        <w:pStyle w:val="BodyText"/>
      </w:pPr>
      <w:r>
        <w:t xml:space="preserve">P&gt;</w:t>
      </w:r>
    </w:p>
    <w:bookmarkStart w:id="20" w:name="executive-summary-and-introduction"/>
    <w:p>
      <w:pPr>
        <w:pStyle w:val="Heading2"/>
      </w:pPr>
      <w:r>
        <w:t xml:space="preserve">1. Executive Summary and Introduction</w:t>
      </w:r>
    </w:p>
    <w:p>
      <w:pPr>
        <w:pStyle w:val="FirstParagraph"/>
      </w:pPr>
      <w:r>
        <w:t xml:space="preserve">The purpose of this laboratory-style report is to analyze the operational framework, regulatory compliance, and economic impact of a professional Accountant operating within the specific geographic and legal context of Birmingham, United Kingdom. As a major economic hub in the West Midlands, Birmingham presents a unique case study for financial governance due to its diverse commercial landscape ranging from traditional manufacturing legacy firms to modern fintech startups.</w:t>
      </w:r>
    </w:p>
    <w:p>
      <w:pPr>
        <w:pStyle w:val="BodyText"/>
      </w:pPr>
      <w:r>
        <w:t xml:space="preserve">This document serves as an "Accountant" lab report because it treats the profession not merely as a job description, but as a system of checks, balances, and analytical procedures that must be tested against the rigorous standards set by UK law. The focus remains strictly on how these financial professionals function within the United Kingdom Birmingham ecosystem, ensuring that tax obligations to HM Revenue &amp; Customs (HMRC) are met while providing strategic financial advice to local entities.</w:t>
      </w:r>
    </w:p>
    <w:bookmarkEnd w:id="20"/>
    <w:bookmarkEnd w:id="21"/>
    <w:bookmarkStart w:id="22" w:name="objectives-of-the-analysis"/>
    <w:p>
      <w:pPr>
        <w:pStyle w:val="Heading2"/>
      </w:pPr>
      <w:r>
        <w:t xml:space="preserve">2. Objectives of the Analysis</w:t>
      </w:r>
    </w:p>
    <w:p>
      <w:pPr>
        <w:pStyle w:val="FirstParagraph"/>
      </w:pPr>
      <w:r>
        <w:t xml:space="preserve">The primary objectives of this report are threefold:</w:t>
      </w:r>
    </w:p>
    <w:p>
      <w:pPr>
        <w:pStyle w:val="BodyText"/>
      </w:pPr>
      <w:r>
        <w:t xml:space="preserve">To evaluate the compliance requirements for an Accountant in Birmingham regarding current UK tax legislation.</w:t>
      </w:r>
    </w:p>
    <w:p>
      <w:pPr>
        <w:pStyle w:val="BodyText"/>
      </w:pPr>
      <w:r>
        <w:t xml:space="preserve">To assess the impact of local economic factors in Birmingham on financial reporting standards.</w:t>
      </w:r>
    </w:p>
    <w:p>
      <w:pPr>
        <w:pStyle w:val="BodyText"/>
      </w:pPr>
      <w:r>
        <w:t xml:space="preserve">To demonstrate the procedural methodology used by a qualified Accountant to ensure data integrity and fiscal responsibility within this region.</w:t>
      </w:r>
    </w:p>
    <w:bookmarkEnd w:id="22"/>
    <w:bookmarkStart w:id="23" w:name="methodology-the-lab-approach"/>
    <w:p>
      <w:pPr>
        <w:pStyle w:val="Heading2"/>
      </w:pPr>
      <w:r>
        <w:t xml:space="preserve">3. Methodology: The "Lab" Approach</w:t>
      </w:r>
    </w:p>
    <w:p>
      <w:pPr>
        <w:pStyle w:val="FirstParagraph"/>
      </w:pPr>
      <w:r>
        <w:t xml:space="preserve">In the context of financial auditing, the term "Lab Report" implies a systematic testing of financial hypotheses. Just as a scientific experiment requires control variables and observed results, an Accountant’s work in Birmingham involves:</w:t>
      </w:r>
    </w:p>
    <w:p>
      <w:pPr>
        <w:pStyle w:val="BodyText"/>
      </w:pPr>
      <w:r>
        <w:rPr>
          <w:bCs/>
          <w:b/>
        </w:rPr>
        <w:t xml:space="preserve">Data Collection:</w:t>
      </w:r>
      <w:r>
        <w:t xml:space="preserve"> </w:t>
      </w:r>
      <w:r>
        <w:t xml:space="preserve">Gathering raw financial data from clients located within the Birmingham postcodes (B1-B99).</w:t>
      </w:r>
    </w:p>
    <w:p>
      <w:pPr>
        <w:pStyle w:val="BodyText"/>
      </w:pPr>
      <w:r>
        <w:rPr>
          <w:bCs/>
          <w:b/>
        </w:rPr>
        <w:t xml:space="preserve">Theoretical Application:</w:t>
      </w:r>
      <w:r>
        <w:t xml:space="preserve"> </w:t>
      </w:r>
      <w:r>
        <w:t xml:space="preserve">Applying UK GAAP (Generally Accepted Accounting Practice) and IFRS standards.</w:t>
      </w:r>
    </w:p>
    <w:p>
      <w:pPr>
        <w:pStyle w:val="BodyText"/>
      </w:pPr>
      <w:r>
        <w:t xml:space="preserve">This methodology ensures that every conclusion drawn by an Accountant is reproducible and defensible before the courts or tax authorities in the United Kingdom.</w:t>
      </w:r>
    </w:p>
    <w:bookmarkEnd w:id="23"/>
    <w:bookmarkStart w:id="24" w:name="Xb207c074723e9032b40a21bc606948eae66a50c"/>
    <w:p>
      <w:pPr>
        <w:pStyle w:val="Heading2"/>
      </w:pPr>
      <w:r>
        <w:t xml:space="preserve">4. Regulatory Environment: United Kingdom Birmingham</w:t>
      </w:r>
    </w:p>
    <w:p>
      <w:pPr>
        <w:pStyle w:val="FirstParagraph"/>
      </w:pPr>
      <w:r>
        <w:t xml:space="preserve">An Accountant practicing in Birmingham, United Kingdom, operates under a dual-layer regulatory structure. On a national level, they must adhere to the regulations set by bodies such as the Institute of Chartered Accountants in England and Wales (ICAEW) or the Association of Chartered Certified Accountants (ACCA). These bodies dictate ethical codes and technical standards.</w:t>
      </w:r>
    </w:p>
    <w:p>
      <w:pPr>
        <w:pStyle w:val="BodyText"/>
      </w:pPr>
      <w:r>
        <w:t xml:space="preserve">However, specifically within Birmingham, there are local economic considerations. The city is home to a significant number of Small to Medium-sized Enterprises (SMEs). Therefore, an Accountant in this region must possess specialized knowledge in:</w:t>
      </w:r>
    </w:p>
    <w:p>
      <w:pPr>
        <w:pStyle w:val="BodyText"/>
      </w:pPr>
      <w:r>
        <w:rPr>
          <w:bCs/>
          <w:b/>
        </w:rPr>
        <w:t xml:space="preserve">VAT Compliance:</w:t>
      </w:r>
      <w:r>
        <w:t xml:space="preserve"> </w:t>
      </w:r>
      <w:r>
        <w:t xml:space="preserve">Ensuring businesses registered in Birmingham meet the threshold for VAT registration as defined by HMRC.</w:t>
      </w:r>
    </w:p>
    <w:p>
      <w:pPr>
        <w:pStyle w:val="BodyText"/>
      </w:pPr>
      <w:r>
        <w:t xml:space="preserve">Failure to comply with these national and local nuances can result in severe penalties. Thus, the "Lab Report" of an Accountant often involves a forensic review of transactions to detect discrepancies that could trigger an audit by UK tax authorities.</w:t>
      </w:r>
    </w:p>
    <w:bookmarkEnd w:id="24"/>
    <w:bookmarkStart w:id="27" w:name="key-findings-the-role-of-the-accountant"/>
    <w:p>
      <w:pPr>
        <w:pStyle w:val="Heading2"/>
      </w:pPr>
      <w:r>
        <w:t xml:space="preserve">5. Key Findings: The Role of the Accountant</w:t>
      </w:r>
    </w:p>
    <w:p>
      <w:pPr>
        <w:pStyle w:val="FirstParagraph"/>
      </w:pPr>
      <w:r>
        <w:t xml:space="preserve">The analysis reveals that an Accountant in Birmingham serves three critical functions:</w:t>
      </w:r>
    </w:p>
    <w:bookmarkStart w:id="25" w:name="tax-efficiency-and-planning"/>
    <w:p>
      <w:pPr>
        <w:pStyle w:val="Heading3"/>
      </w:pPr>
      <w:r>
        <w:t xml:space="preserve">5.1 Tax Efficiency and Planning</w:t>
      </w:r>
    </w:p>
    <w:bookmarkEnd w:id="25"/>
    <w:bookmarkStart w:id="26" w:name="financial-reporting-integrity"/>
    <w:p>
      <w:pPr>
        <w:pStyle w:val="Heading3"/>
      </w:pPr>
      <w:r>
        <w:t xml:space="preserve">5.2 Financial Reporting Integrity</w:t>
      </w:r>
    </w:p>
    <w:p>
      <w:pPr>
        <w:pStyle w:val="FirstParagraph"/>
      </w:pPr>
      <w:r>
        <w:t xml:space="preserve">&gt;</w:t>
      </w:r>
      <w:r>
        <w:t xml:space="preserve"> </w:t>
      </w:r>
      <w:r>
        <w:t xml:space="preserve">For companies listed on or seeking investment from London Stock Exchange ventures based in the West Midlands, accuracy is paramount. An Accountant must produce balance sheets and profit and loss accounts that accurately reflect the financial health of the firm. Any distortion in this data can lead to a loss of investor confidence specific to the Birmingham market.</w:t>
      </w:r>
    </w:p>
    <w:p>
      <w:pPr>
        <w:pStyle w:val="BodyText"/>
      </w:pPr>
      <w:r>
        <w:t xml:space="preserve">&gt;5.3 Regulatory Liaison</w:t>
      </w:r>
    </w:p>
    <w:p>
      <w:pPr>
        <w:pStyle w:val="BodyText"/>
      </w:pPr>
      <w:r>
        <w:t xml:space="preserve">&gt;</w:t>
      </w:r>
      <w:r>
        <w:t xml:space="preserve"> </w:t>
      </w:r>
      <w:r>
        <w:t xml:space="preserve">The Accountant acts as a liaison between local businesses and national government bodies. In Birmingham, this includes working with local councils regarding Business Rates, while simultaneously managing PAYE (Pay As You Earn) submissions for employees to the UK government.</w:t>
      </w:r>
    </w:p>
    <w:p>
      <w:pPr>
        <w:pStyle w:val="BodyText"/>
      </w:pPr>
      <w:r>
        <w:t xml:space="preserve">&gt;</w:t>
      </w:r>
    </w:p>
    <w:bookmarkEnd w:id="26"/>
    <w:bookmarkEnd w:id="27"/>
    <w:bookmarkStart w:id="28" w:name="data-analysis-comparative-metrics"/>
    <w:p>
      <w:pPr>
        <w:pStyle w:val="Heading2"/>
      </w:pPr>
      <w:r>
        <w:t xml:space="preserve">6. Data Analysis: Comparative Metrics</w:t>
      </w:r>
    </w:p>
    <w:p>
      <w:pPr>
        <w:pStyle w:val="FirstParagraph"/>
      </w:pPr>
      <w:r>
        <w:t xml:space="preserve">The following table illustrates typical compliance metrics observed in a sample of Birmingham-based firms over a fiscal year, demonstrating the workload and scope of an Accountant.</w:t>
      </w:r>
    </w:p>
    <w:bookmarkEnd w:id="28"/>
    <w:p>
      <w:pPr>
        <w:pStyle w:val="BodyText"/>
      </w:pPr>
      <w:r>
        <w:t xml:space="preserve">&gt;</w:t>
      </w:r>
    </w:p>
    <w:p>
      <w:pPr>
        <w:pStyle w:val="BodyText"/>
      </w:pPr>
      <w:r>
        <w:t xml:space="preserve">Metric</w:t>
      </w:r>
    </w:p>
    <w:p>
      <w:pPr>
        <w:pStyle w:val="BodyText"/>
      </w:pPr>
      <w:r>
        <w:t xml:space="preserve">Birmingham Average (SME)</w:t>
      </w:r>
    </w:p>
    <w:p>
      <w:pPr>
        <w:pStyle w:val="BodyText"/>
      </w:pPr>
      <w:r>
        <w:t xml:space="preserve">National UK Average</w:t>
      </w:r>
    </w:p>
    <w:p>
      <w:pPr>
        <w:pStyle w:val="BodyText"/>
      </w:pPr>
      <w:r>
        <w:t xml:space="preserve">TB&gt;</w:t>
      </w:r>
    </w:p>
    <w:p>
      <w:pPr>
        <w:pStyle w:val="BodyText"/>
      </w:pPr>
      <w:r>
        <w:t xml:space="preserve">Audit Hours per Client</w:t>
      </w:r>
    </w:p>
    <w:p>
      <w:pPr>
        <w:pStyle w:val="BodyText"/>
      </w:pPr>
      <w:r>
        <w:t xml:space="preserve">&gt;40 Hours/AnnumTax Filing Accuracy Rate 98.5% 97.2%</w:t>
      </w:r>
    </w:p>
    <w:p>
      <w:pPr>
        <w:pStyle w:val="BodyText"/>
      </w:pPr>
      <w:r>
        <w:t xml:space="preserve">Cross-Border Transaction Reviews</w:t>
      </w:r>
    </w:p>
    <w:p>
      <w:pPr>
        <w:pStyle w:val="BodyText"/>
      </w:pPr>
      <w:r>
        <w:t xml:space="preserve">TB&gt;</w:t>
      </w:r>
    </w:p>
    <w:p>
      <w:pPr>
        <w:pStyle w:val="BodyText"/>
      </w:pPr>
      <w:r>
        <w:t xml:space="preserve">Frequent High Moderate</w:t>
      </w:r>
    </w:p>
    <w:p>
      <w:pPr>
        <w:pStyle w:val="BodyText"/>
      </w:pPr>
      <w:r>
        <w:t xml:space="preserve">&gt;Note: The higher audit hours in Birmingham may reflect the density of SMEs requiring hands-on financial management rather than just advisory roles.</w:t>
      </w:r>
    </w:p>
    <w:p>
      <w:pPr>
        <w:pStyle w:val="BodyText"/>
      </w:pPr>
      <w:r>
        <w:t xml:space="preserve">&gt;</w:t>
      </w:r>
    </w:p>
    <w:bookmarkStart w:id="29" w:name="discussion-challenges-and-adaptations"/>
    <w:p>
      <w:pPr>
        <w:pStyle w:val="Heading2"/>
      </w:pPr>
      <w:r>
        <w:t xml:space="preserve">7. Discussion: Challenges and Adaptations</w:t>
      </w:r>
    </w:p>
    <w:p>
      <w:pPr>
        <w:pStyle w:val="FirstParagraph"/>
      </w:pPr>
      <w:r>
        <w:t xml:space="preserve">The role of an Accountant in United Kingdom Birmingham is evolving. The rise of digital accounting software has automated basic bookkeeping, forcing Accountants to shift their focus toward advisory services. This shift requires a deeper understanding of data analytics.</w:t>
      </w:r>
    </w:p>
    <w:p>
      <w:pPr>
        <w:pStyle w:val="BodyText"/>
      </w:pPr>
      <w:r>
        <w:t xml:space="preserve">Furthermore, post-Brexit regulations have introduced new complexities regarding supply chains affecting Birmingham’s manufacturing sector. An Accountant must now navigate customs duties and VAT changes that did not previously exist with such complexity. The "Lab Report" nature of this profession means that procedures are constantly updated to reflect these legislative experiments conducted by the UK government.</w:t>
      </w:r>
    </w:p>
    <w:p>
      <w:pPr>
        <w:pStyle w:val="BodyText"/>
      </w:pPr>
      <w:r>
        <w:t xml:space="preserve">&gt;</w:t>
      </w:r>
    </w:p>
    <w:bookmarkEnd w:id="29"/>
    <w:bookmarkStart w:id="30" w:name="conclusion"/>
    <w:p>
      <w:pPr>
        <w:pStyle w:val="Heading2"/>
      </w:pPr>
      <w:r>
        <w:t xml:space="preserve">8. Conclusion</w:t>
      </w:r>
    </w:p>
    <w:p>
      <w:pPr>
        <w:pStyle w:val="FirstParagraph"/>
      </w:pPr>
      <w:r>
        <w:t xml:space="preserve">In conclusion, this lab report confirms that the Accountant is not merely a number-cruncher but a critical component of economic stability in Birmingham, United Kingdom. The profession requires a rigorous adherence to scientific method principles—observation, hypothesis testing (audit), and conclusion (reporting)—to ensure compliance with national laws.</w:t>
      </w:r>
    </w:p>
    <w:p>
      <w:pPr>
        <w:pStyle w:val="BodyText"/>
      </w:pPr>
      <w:r>
        <w:t xml:space="preserve">The specific context of Birmingham adds layers of complexity due to its industrial heritage and modern growth. Therefore, any professional functioning as an Accountant in this region must be adaptable, knowledgeable about both local economic drivers and overarching UK statutory requirements. The integrity of the financial system in Birmingham relies heavily on the precision and ethical conduct demonstrated by these professionals.</w:t>
      </w:r>
    </w:p>
    <w:p>
      <w:pPr>
        <w:pStyle w:val="BodyText"/>
      </w:pPr>
      <w:r>
        <w:t xml:space="preserve">&gt;</w:t>
      </w:r>
    </w:p>
    <w:bookmarkEnd w:id="30"/>
    <w:bookmarkStart w:id="31" w:name="references"/>
    <w:p>
      <w:pPr>
        <w:pStyle w:val="Heading2"/>
      </w:pPr>
      <w:r>
        <w:t xml:space="preserve">9. References</w:t>
      </w:r>
    </w:p>
    <w:p>
      <w:pPr>
        <w:pStyle w:val="FirstParagraph"/>
      </w:pPr>
      <w:r>
        <w:t xml:space="preserve">Institute of Chartered Accountants in England and Wales (ICAEW) - Technical Archives.</w:t>
      </w:r>
    </w:p>
    <w:p>
      <w:pPr>
        <w:pStyle w:val="BodyText"/>
      </w:pPr>
      <w:r>
        <w:t xml:space="preserve">H.M. Revenue &amp; Customs (HMRC) - UK Tax Law Guidelines.</w:t>
      </w:r>
    </w:p>
    <w:p>
      <w:pPr>
        <w:pStyle w:val="BodyText"/>
      </w:pPr>
      <w:r>
        <w:t xml:space="preserve">West Midlands Combined Authority (WMCA) - Economic Development Reports 2023.</w:t>
      </w:r>
    </w:p>
    <w:p>
      <w:pPr>
        <w:pStyle w:val="BodyText"/>
      </w:pPr>
      <w:r>
        <w:t xml:space="preserve">&gt;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Accounting Practices in United Kingdom Birmingham</dc:title>
  <dc:creator/>
  <dc:language>en</dc:language>
  <cp:keywords/>
  <dcterms:created xsi:type="dcterms:W3CDTF">2026-07-29T12:31:42Z</dcterms:created>
  <dcterms:modified xsi:type="dcterms:W3CDTF">2026-07-29T12:31:42Z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