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Actor</w:t>
      </w:r>
      <w:r>
        <w:t xml:space="preserve"> </w:t>
      </w:r>
      <w:r>
        <w:t xml:space="preserve">Dynamics</w:t>
      </w:r>
      <w:r>
        <w:t xml:space="preserve"> </w:t>
      </w:r>
      <w:r>
        <w:t xml:space="preserve">in</w:t>
      </w:r>
      <w:r>
        <w:t xml:space="preserve"> </w:t>
      </w:r>
      <w:r>
        <w:t xml:space="preserve">Iraq</w:t>
      </w:r>
      <w:r>
        <w:t xml:space="preserve"> </w:t>
      </w:r>
      <w:r>
        <w:t xml:space="preserve">Baghdad</w:t>
      </w:r>
    </w:p>
    <w:bookmarkStart w:id="20" w:name="X7118cfe0ccd6d0dbadd2a64b78f8cfc85cba00a"/>
    <w:p>
      <w:pPr>
        <w:pStyle w:val="Heading1"/>
      </w:pPr>
      <w:r>
        <w:t xml:space="preserve">LAB REPORT: Strategic Actor Analysis in the Geopolitical Landscape of Iraq Baghdad</w:t>
      </w:r>
    </w:p>
    <w:p>
      <w:pPr>
        <w:pStyle w:val="FirstParagraph"/>
      </w:pPr>
      <w:r>
        <w:rPr>
          <w:bCs/>
          <w:b/>
        </w:rPr>
        <w:t xml:space="preserve">Date:</w:t>
      </w:r>
      <w:r>
        <w:t xml:space="preserve"> </w:t>
      </w:r>
      <w:r>
        <w:t xml:space="preserve">May 24, 2024</w:t>
      </w:r>
    </w:p>
    <w:p>
      <w:pPr>
        <w:pStyle w:val="BodyText"/>
      </w:pPr>
      <w:r>
        <w:rPr>
          <w:bCs/>
          <w:b/>
        </w:rPr>
        <w:t xml:space="preserve">ID:</w:t>
      </w:r>
      <w:r>
        <w:t xml:space="preserve"> </w:t>
      </w:r>
      <w:r>
        <w:t xml:space="preserve">IRQ-BGD-ACTOR-2024-X79</w:t>
      </w:r>
    </w:p>
    <w:p>
      <w:pPr>
        <w:pStyle w:val="BodyText"/>
      </w:pPr>
      <w:r>
        <w:rPr>
          <w:bCs/>
          <w:b/>
        </w:rPr>
        <w:t xml:space="preserve">Status:</w:t>
      </w:r>
      <w:r>
        <w:t xml:space="preserve"> </w:t>
      </w:r>
      <w:r>
        <w:t xml:space="preserve">Final Review Draft</w:t>
      </w:r>
    </w:p>
    <w:bookmarkEnd w:id="20"/>
    <w:bookmarkStart w:id="21" w:name="laboratory-information-context"/>
    <w:p>
      <w:pPr>
        <w:pStyle w:val="Heading3"/>
      </w:pPr>
      <w:r>
        <w:t xml:space="preserve">Laboratory Information &amp; Context</w:t>
      </w:r>
    </w:p>
    <w:p>
      <w:pPr>
        <w:pStyle w:val="FirstParagraph"/>
      </w:pPr>
      <w:r>
        <w:rPr>
          <w:bCs/>
          <w:b/>
        </w:rPr>
        <w:t xml:space="preserve">Laboratory Designation:</w:t>
      </w:r>
      <w:r>
        <w:t xml:space="preserve"> </w:t>
      </w:r>
      <w:r>
        <w:t xml:space="preserve">Regional Political Stability Analysis Unit (RPSAU)</w:t>
      </w:r>
    </w:p>
    <w:p>
      <w:pPr>
        <w:pStyle w:val="BodyText"/>
      </w:pPr>
      <w:r>
        <w:rPr>
          <w:bCs/>
          <w:b/>
        </w:rPr>
        <w:t xml:space="preserve">Coverage Area:</w:t>
      </w:r>
      <w:r>
        <w:t xml:space="preserve"> </w:t>
      </w:r>
      <w:r>
        <w:t xml:space="preserve">Iraq Baghdad, including the Green Zone, Karrada District, and surrounding administrative sectors.</w:t>
      </w:r>
    </w:p>
    <w:p>
      <w:pPr>
        <w:pStyle w:val="BodyText"/>
      </w:pPr>
      <w:r>
        <w:br/>
      </w:r>
      <w:r>
        <w:t xml:space="preserve">This document serves as a comprehensive</w:t>
      </w:r>
      <w:r>
        <w:t xml:space="preserve"> </w:t>
      </w:r>
      <w:r>
        <w:t xml:space="preserve">Lab Report</w:t>
      </w:r>
      <w:r>
        <w:t xml:space="preserve"> </w:t>
      </w:r>
      <w:r>
        <w:t xml:space="preserve">detailing the complex interactions between various political, military, and social entities. The primary focus is to dissect the behavior of each specific</w:t>
      </w:r>
      <w:r>
        <w:t xml:space="preserve"> </w:t>
      </w:r>
      <w:r>
        <w:t xml:space="preserve">Actor</w:t>
      </w:r>
      <w:r>
        <w:t xml:space="preserve"> </w:t>
      </w:r>
      <w:r>
        <w:t xml:space="preserve">within the high-stakes environment of</w:t>
      </w:r>
      <w:r>
        <w:t xml:space="preserve"> </w:t>
      </w:r>
      <w:r>
        <w:rPr>
          <w:bCs/>
          <w:b/>
        </w:rPr>
        <w:t xml:space="preserve">Iraq Baghdad</w:t>
      </w:r>
      <w:r>
        <w:t xml:space="preserve">. Understanding these dynamics is crucial for predicting stability outcomes and policy implications in this volatile region.</w:t>
      </w:r>
    </w:p>
    <w:bookmarkEnd w:id="21"/>
    <w:bookmarkStart w:id="22" w:name="introduction-and-objectives"/>
    <w:p>
      <w:pPr>
        <w:pStyle w:val="Heading2"/>
      </w:pPr>
      <w:r>
        <w:t xml:space="preserve">1. Introduction and Objectives</w:t>
      </w:r>
    </w:p>
    <w:p>
      <w:pPr>
        <w:pStyle w:val="FirstParagraph"/>
      </w:pPr>
      <w:r>
        <w:t xml:space="preserve">The capital city of Iraq, known globally as Baghdad, remains the epicenter of political power and strategic interest in the Middle East. As a critical node in regional security networks, every decision made by any significant</w:t>
      </w:r>
      <w:r>
        <w:t xml:space="preserve"> </w:t>
      </w:r>
      <w:r>
        <w:t xml:space="preserve">Actor</w:t>
      </w:r>
      <w:r>
        <w:t xml:space="preserve"> </w:t>
      </w:r>
      <w:r>
        <w:t xml:space="preserve">influences the broader geopolitical stability. This Lab Report aims to categorize these actors based on their influence levels, ideological alignments, and operational capabilities.</w:t>
      </w:r>
    </w:p>
    <w:p>
      <w:pPr>
        <w:pStyle w:val="BodyText"/>
      </w:pPr>
      <w:r>
        <w:t xml:space="preserve">The objective of this study is to provide a granular analysis of how domestic and international forces interact within the physical and political boundaries of Iraq Baghdad. By treating each influential group as a distinct variable or "actor," we can simulate potential outcomes regarding legislative changes, security operations, and diplomatic engagements. The term "Actor" in this context is defined not merely as an individual but as any organized entity capable of exerting will upon the state apparatus.</w:t>
      </w:r>
    </w:p>
    <w:bookmarkEnd w:id="22"/>
    <w:bookmarkStart w:id="23" w:name="methodology"/>
    <w:p>
      <w:pPr>
        <w:pStyle w:val="Heading2"/>
      </w:pPr>
      <w:r>
        <w:t xml:space="preserve">2. Methodology</w:t>
      </w:r>
    </w:p>
    <w:p>
      <w:pPr>
        <w:pStyle w:val="FirstParagraph"/>
      </w:pPr>
      <w:r>
        <w:t xml:space="preserve">Data for this Lab Report was collected through a combination of open-source intelligence (OSINT), field observations within designated safe zones in Iraq Baghdad, and diplomatic cables from allied embassies. The analytical framework employs Game Theory models to predict the strategic moves of each identified actor.</w:t>
      </w:r>
    </w:p>
    <w:p>
      <w:pPr>
        <w:pStyle w:val="BodyText"/>
      </w:pPr>
      <w:r>
        <w:t xml:space="preserve">We categorized the actors into three primary tiers: Tier 1 (State Institutions), Tier 2 (Non-State Militias and Proxy Groups), and Tier 3 (Civil Society and International Diplomatic Bodies). Each tier was analyzed for its capacity to disrupt or stabilize the status quo in Iraq Baghdad. The data spans a period of eighteen months, allowing for longitudinal analysis of shifting alliances.</w:t>
      </w:r>
    </w:p>
    <w:bookmarkEnd w:id="23"/>
    <w:bookmarkStart w:id="27" w:name="analysis-of-key-actors-in-iraq-baghdad"/>
    <w:p>
      <w:pPr>
        <w:pStyle w:val="Heading2"/>
      </w:pPr>
      <w:r>
        <w:t xml:space="preserve">3. Analysis of Key Actors in Iraq Baghdad</w:t>
      </w:r>
    </w:p>
    <w:bookmarkStart w:id="24" w:name="the-state-apparatus-tier-1"/>
    <w:p>
      <w:pPr>
        <w:pStyle w:val="Heading3"/>
      </w:pPr>
      <w:r>
        <w:t xml:space="preserve">3.1 The State Apparatus (Tier 1)</w:t>
      </w:r>
    </w:p>
    <w:p>
      <w:pPr>
        <w:pStyle w:val="FirstParagraph"/>
      </w:pPr>
      <w:r>
        <w:t xml:space="preserve">The most prominent set of actors comprises the elected government institutions located within the Green Zone of Iraq Baghdad. These include the Presidency, the Council of Ministers, and the Parliament. Historically fragmented by sectarian quotas, these actors are currently attempting to consolidate power to present a unified front against external threats. However, internal dissent remains a critical variable. The Prime Minister’s office acts as a central hub for decision-making, often balancing competing demands from coalition partners.</w:t>
      </w:r>
    </w:p>
    <w:bookmarkEnd w:id="24"/>
    <w:bookmarkStart w:id="25" w:name="popular-mobilization-forces-tier-2"/>
    <w:p>
      <w:pPr>
        <w:pStyle w:val="Heading3"/>
      </w:pPr>
      <w:r>
        <w:t xml:space="preserve">3.2 Popular Mobilization Forces (Tier 2)</w:t>
      </w:r>
    </w:p>
    <w:p>
      <w:pPr>
        <w:pStyle w:val="FirstParagraph"/>
      </w:pPr>
      <w:r>
        <w:t xml:space="preserve">A significant portion of this Lab Report focuses on the influence of the Popular Mobilization Forces (PMF), also known as Hashd al-Shaabi. Operating under the umbrella of state legitimacy but maintaining autonomous command structures, these actors pose a complex challenge to traditional security protocols in Iraq Baghdad. Their ability to mobilize support and deploy forces rapidly makes them decisive players in any security crisis. The relationship between these actors and the regular Iraqi Army is often tense, leading to dual-command structures that complicate operational coherence.</w:t>
      </w:r>
    </w:p>
    <w:bookmarkEnd w:id="25"/>
    <w:bookmarkStart w:id="26" w:name="international-actors-tier-3"/>
    <w:p>
      <w:pPr>
        <w:pStyle w:val="Heading3"/>
      </w:pPr>
      <w:r>
        <w:t xml:space="preserve">3.3 International Actors (Tier 3)</w:t>
      </w:r>
    </w:p>
    <w:p>
      <w:pPr>
        <w:pStyle w:val="FirstParagraph"/>
      </w:pPr>
      <w:r>
        <w:t xml:space="preserve">Foreign entities, particularly United States forces and Iranian diplomatic representatives, remain deeply embedded in the affairs of Iraq Baghdad. While foreign troops have reduced their footprint, their influence persists through advisory roles and logistical support. These international actors often find themselves navigating a delicate balance: supporting Iraqi sovereignty while advancing their own strategic interests regarding regional containment or economic partnerships.</w:t>
      </w:r>
    </w:p>
    <w:bookmarkEnd w:id="26"/>
    <w:bookmarkEnd w:id="27"/>
    <w:bookmarkStart w:id="28" w:name="inter-actor-dynamics-and-conflict-zones"/>
    <w:p>
      <w:pPr>
        <w:pStyle w:val="Heading2"/>
      </w:pPr>
      <w:r>
        <w:t xml:space="preserve">4. Inter-Actor Dynamics and Conflict Zones</w:t>
      </w:r>
    </w:p>
    <w:p>
      <w:pPr>
        <w:pStyle w:val="FirstParagraph"/>
      </w:pPr>
      <w:r>
        <w:t xml:space="preserve">The interaction between these actors frequently results in friction. For instance, recent tensions in Iraq Baghdad have arisen when State Apparatus actors attempt to reform the security sector, a move perceived as hostile by certain Tier 2 actors who view such reforms as an existential threat. This dynamic creates a volatile feedback loop where political rhetoric escalates into physical confrontations.</w:t>
      </w:r>
    </w:p>
    <w:p>
      <w:pPr>
        <w:pStyle w:val="BodyText"/>
      </w:pPr>
      <w:r>
        <w:t xml:space="preserve">Furthermore, the economic sphere in Iraq Baghdad is heavily influenced by these interactions. Oil revenues, which fund the state, are often leveraged as a political tool by various actors to buy loyalty or punish opposition. This economic warfare complicates efforts to establish long-term stability and requires continuous monitoring as outlined in this Lab Report.</w:t>
      </w:r>
    </w:p>
    <w:bookmarkEnd w:id="28"/>
    <w:bookmarkStart w:id="29" w:name="risk-assessment-and-projections"/>
    <w:p>
      <w:pPr>
        <w:pStyle w:val="Heading2"/>
      </w:pPr>
      <w:r>
        <w:t xml:space="preserve">5. Risk Assessment and Projections</w:t>
      </w:r>
    </w:p>
    <w:p>
      <w:pPr>
        <w:pStyle w:val="FirstParagraph"/>
      </w:pPr>
      <w:r>
        <w:t xml:space="preserve">Based on the analysis of actor behaviors, several risk scenarios have been identified for Iraq Baghdad:</w:t>
      </w:r>
    </w:p>
    <w:p>
      <w:pPr>
        <w:numPr>
          <w:ilvl w:val="0"/>
          <w:numId w:val="1001"/>
        </w:numPr>
        <w:pStyle w:val="Compact"/>
      </w:pPr>
      <w:r>
        <w:rPr>
          <w:bCs/>
          <w:b/>
        </w:rPr>
        <w:t xml:space="preserve">Status Quo Persistence:</w:t>
      </w:r>
      <w:r>
        <w:t xml:space="preserve"> </w:t>
      </w:r>
      <w:r>
        <w:t xml:space="preserve">The most likely scenario where actors continue to jockey for power without overt conflict, resulting in slow governance and economic stagnation.</w:t>
      </w:r>
    </w:p>
    <w:p>
      <w:pPr>
        <w:numPr>
          <w:ilvl w:val="0"/>
          <w:numId w:val="1001"/>
        </w:numPr>
        <w:pStyle w:val="Compact"/>
      </w:pPr>
      <w:r>
        <w:rPr>
          <w:bCs/>
          <w:b/>
        </w:rPr>
        <w:t xml:space="preserve">Cohesion Breakdown:</w:t>
      </w:r>
      <w:r>
        <w:t xml:space="preserve"> </w:t>
      </w:r>
      <w:r>
        <w:t xml:space="preserve">A moderate risk where disagreements between Tier 1 and Tier 2 actors lead to localized instability within the city of Iraq Baghdad.</w:t>
      </w:r>
    </w:p>
    <w:p>
      <w:pPr>
        <w:numPr>
          <w:ilvl w:val="0"/>
          <w:numId w:val="1001"/>
        </w:numPr>
        <w:pStyle w:val="Compact"/>
      </w:pPr>
      <w:r>
        <w:rPr>
          <w:bCs/>
          <w:b/>
        </w:rPr>
        <w:t xml:space="preserve">Cascading Failure:</w:t>
      </w:r>
      <w:r>
        <w:t xml:space="preserve"> </w:t>
      </w:r>
      <w:r>
        <w:t xml:space="preserve">A low-probability, high-impact scenario involving external intervention triggering a broader regional conflict centered on Iraq Baghdad.</w:t>
      </w:r>
    </w:p>
    <w:bookmarkEnd w:id="29"/>
    <w:bookmarkStart w:id="30" w:name="conclusion"/>
    <w:p>
      <w:pPr>
        <w:pStyle w:val="Heading2"/>
      </w:pPr>
      <w:r>
        <w:t xml:space="preserve">6. Conclusion</w:t>
      </w:r>
    </w:p>
    <w:p>
      <w:pPr>
        <w:pStyle w:val="FirstParagraph"/>
      </w:pPr>
      <w:r>
        <w:t xml:space="preserve">This Lab Report underscores the complexity of the security and political environment in Iraq Baghdad. The concept of a single, unified national actor is largely a fiction; instead, power is distributed among competing entities with divergent agendas. Effective policy-making requires acknowledging these distinct actors and their respective leverage points.</w:t>
      </w:r>
    </w:p>
    <w:p>
      <w:pPr>
        <w:pStyle w:val="BodyText"/>
      </w:pPr>
      <w:r>
        <w:t xml:space="preserve">Stability in Iraq Baghdad cannot be imposed from the outside but must be cultivated through careful diplomacy that addresses the core grievances of local actors while integrating international partners into a cooperative framework. Future iterations of this Lab Report will focus on quantitative metrics to better predict the timing and nature of actor interactions.</w:t>
      </w:r>
    </w:p>
    <w:bookmarkEnd w:id="30"/>
    <w:bookmarkStart w:id="31" w:name="recommendations"/>
    <w:p>
      <w:pPr>
        <w:pStyle w:val="Heading2"/>
      </w:pPr>
      <w:r>
        <w:t xml:space="preserve">7. Recommendations</w:t>
      </w:r>
    </w:p>
    <w:p>
      <w:pPr>
        <w:numPr>
          <w:ilvl w:val="0"/>
          <w:numId w:val="1002"/>
        </w:numPr>
        <w:pStyle w:val="Compact"/>
      </w:pPr>
      <w:r>
        <w:rPr>
          <w:bCs/>
          <w:b/>
        </w:rPr>
        <w:t xml:space="preserve">Diplomatic Engagement:</w:t>
      </w:r>
      <w:r>
        <w:t xml:space="preserve"> </w:t>
      </w:r>
      <w:r>
        <w:t xml:space="preserve">Increase dialogue between Tier 1 state institutions and moderate elements of Tier 2 militias to reduce friction in Iraq Baghdad.</w:t>
      </w:r>
    </w:p>
    <w:p>
      <w:pPr>
        <w:numPr>
          <w:ilvl w:val="0"/>
          <w:numId w:val="1002"/>
        </w:numPr>
        <w:pStyle w:val="Compact"/>
      </w:pPr>
      <w:r>
        <w:rPr>
          <w:bCs/>
          <w:b/>
        </w:rPr>
        <w:t xml:space="preserve">Economic Integration:</w:t>
      </w:r>
    </w:p>
    <w:p>
      <w:pPr>
        <w:numPr>
          <w:ilvl w:val="0"/>
          <w:numId w:val="1002"/>
        </w:numPr>
        <w:pStyle w:val="Compact"/>
      </w:pPr>
      <w:r>
        <w:rPr>
          <w:bCs/>
          <w:b/>
        </w:rPr>
        <w:t xml:space="preserve">Continuous Monitoring:</w:t>
      </w:r>
      <w:r>
        <w:t xml:space="preserve"> </w:t>
      </w:r>
      <w:r>
        <w:t xml:space="preserve">Establish a real-time intelligence network specifically designed to track the movements and statements of key actors in Iraq Baghdad.</w:t>
      </w:r>
    </w:p>
    <w:p>
      <w:r>
        <w:pict>
          <v:rect style="width:0;height:1.5pt" o:hralign="center" o:hrstd="t" o:hr="t"/>
        </w:pict>
      </w:r>
    </w:p>
    <w:p>
      <w:pPr>
        <w:pStyle w:val="FirstParagraph"/>
      </w:pPr>
      <w:r>
        <w:rPr>
          <w:iCs/>
          <w:i/>
        </w:rPr>
        <w:t xml:space="preserve">This document is classified for internal distribution only. Unauthorized dissemination of this Lab Report regarding Iraq Baghdad actor dynamics is strictly prohibited.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Actor Dynamics in Iraq Baghdad</dc:title>
  <dc:creator/>
  <dc:language>en</dc:language>
  <cp:keywords/>
  <dcterms:created xsi:type="dcterms:W3CDTF">2026-07-29T13:57:27Z</dcterms:created>
  <dcterms:modified xsi:type="dcterms:W3CDTF">2026-07-29T13:57:27Z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