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Actor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p>
      <w:pPr>
        <w:pStyle w:val="FirstParagraph"/>
      </w:pPr>
      <w:r>
        <w:t xml:space="preserve">```html</w:t>
      </w:r>
    </w:p>
    <w:bookmarkStart w:id="20" w:name="X3ea8a11a3a008e7eb9566a54add7b5df9b99c89"/>
    <w:p>
      <w:pPr>
        <w:pStyle w:val="Heading1"/>
      </w:pPr>
      <w:r>
        <w:t xml:space="preserve">Lab Report: Comprehensive Analysis of Actor Dynamics in Ivory Coast Abidjan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1. Objective</w:t>
      </w:r>
    </w:p>
    <w:p>
      <w:pPr>
        <w:pStyle w:val="BodyText"/>
      </w:pPr>
      <w:r>
        <w:t xml:space="preserve">The primary objective of this lab report is to evaluate and analyze the dynamics of key actors operating within the economic and socio-political landscape of Ivory Coast Abidjan. This report aims to provide a comprehensive overview...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Actor Analysis in Ivory Coast Abidjan</dc:title>
  <dc:creator/>
  <dc:language>en</dc:language>
  <cp:keywords/>
  <dcterms:created xsi:type="dcterms:W3CDTF">2026-07-29T11:36:30Z</dcterms:created>
  <dcterms:modified xsi:type="dcterms:W3CDTF">2026-07-29T11:36:30Z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