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Practices</w:t>
      </w:r>
      <w:r>
        <w:t xml:space="preserve"> </w:t>
      </w:r>
      <w:r>
        <w:t xml:space="preserve">in</w:t>
      </w:r>
      <w:r>
        <w:t xml:space="preserve"> </w:t>
      </w:r>
      <w:r>
        <w:t xml:space="preserve">Australia</w:t>
      </w:r>
      <w:r>
        <w:t xml:space="preserve"> </w:t>
      </w:r>
      <w:r>
        <w:t xml:space="preserve">Melbourne</w:t>
      </w:r>
    </w:p>
    <w:bookmarkStart w:id="20" w:name="Xacd132cc5476b2790d92d8bcc16e1a786210e65"/>
    <w:p>
      <w:pPr>
        <w:pStyle w:val="Heading1"/>
      </w:pPr>
      <w:r>
        <w:t xml:space="preserve">Laboratory Report: Aerospace Engineering Practices in Australia Melbourne</w:t>
      </w:r>
    </w:p>
    <w:p>
      <w:pPr>
        <w:pStyle w:val="FirstParagraph"/>
      </w:pPr>
      <w:r>
        <w:rPr>
          <w:bCs/>
          <w:b/>
        </w:rPr>
        <w:t xml:space="preserve">Date:</w:t>
      </w:r>
      <w:r>
        <w:t xml:space="preserve"> </w:t>
      </w:r>
      <w:r>
        <w:t xml:space="preserve">October 26, 2023</w:t>
      </w:r>
      <w:r>
        <w:br/>
      </w:r>
      <w:r>
        <w:rPr>
          <w:bCs/>
          <w:b/>
        </w:rPr>
        <w:t xml:space="preserve">Prepared For:</w:t>
      </w:r>
      <w:r>
        <w:t xml:space="preserve">The Department of Defense and Civil Aviation Safety Authority (CASA)</w:t>
      </w:r>
      <w:r>
        <w:br/>
      </w:r>
      <w:r>
        <w:rPr>
          <w:bCs/>
          <w:b/>
        </w:rPr>
        <w:t xml:space="preserve">Location Focus:</w:t>
      </w:r>
      <w:r>
        <w:t xml:space="preserve">Australia Melbourne Regional Testing Facility</w:t>
      </w:r>
    </w:p>
    <w:bookmarkEnd w:id="20"/>
    <w:bookmarkStart w:id="21" w:name="introduction-and-objective"/>
    <w:p>
      <w:pPr>
        <w:pStyle w:val="Heading2"/>
      </w:pPr>
      <w:r>
        <w:t xml:space="preserve">1. Introduction and Objective</w:t>
      </w:r>
    </w:p>
    <w:p>
      <w:pPr>
        <w:pStyle w:val="FirstParagraph"/>
      </w:pPr>
      <w:r>
        <w:t xml:space="preserve">This laboratory report provides a comprehensive analysis of the operational dynamics, structural integrity standards, and propulsion efficiency metrics relevant to an Aerospace Engineer operating within the unique geographical and regulatory environment of Australia Melbourne. The primary objective is to document how aerospace engineering principles are adapted to meet the specific atmospheric conditions of Southeastern Victoria while adhering to stringent Australian safety protocols. As an Aerospace Engineer based in Australia Melbourne, it is imperative that our technical assessments reflect both global best practices and local environmental constraints. This report aims to bridge theoretical aerodynamic models with practical application scenarios found across the Australia Melbourne region.</w:t>
      </w:r>
    </w:p>
    <w:p>
      <w:pPr>
        <w:pStyle w:val="BodyText"/>
      </w:pPr>
      <w:r>
        <w:t xml:space="preserve">The significance of this study lies in its dual focus on commercial aviation sustainability and defense-grade aerospace reliability. By examining data collected from test sites in Australia Melbourne, we can better understand how high-altitude simulation technologies perform under variable humidity levels typical of the Yarra Valley climate. Consequently, this document serves as a critical reference for engineers tasked with optimizing aircraft performance specifically for routes originating from or transiting through Australia Melbourne airports.</w:t>
      </w:r>
    </w:p>
    <w:bookmarkEnd w:id="21"/>
    <w:bookmarkStart w:id="22" w:name="environmental-and-atmospheric-conditions"/>
    <w:p>
      <w:pPr>
        <w:pStyle w:val="Heading2"/>
      </w:pPr>
      <w:r>
        <w:t xml:space="preserve">2. Environmental and Atmospheric Conditions</w:t>
      </w:r>
    </w:p>
    <w:p>
      <w:pPr>
        <w:pStyle w:val="FirstParagraph"/>
      </w:pPr>
      <w:r>
        <w:t xml:space="preserve">A fundamental aspect of aerospace engineering is the understanding of environmental variables that impact flight dynamics. In the context of Australia Melbourne, several distinct meteorological factors must be considered during design and testing phases. The region experiences moderate seasonal changes, with summer temperatures occasionally reaching levels that affect air density calculations significantly.</w:t>
      </w:r>
    </w:p>
    <w:p>
      <w:pPr>
        <w:pStyle w:val="BodyText"/>
      </w:pPr>
      <w:r>
        <w:t xml:space="preserve">Metric</w:t>
      </w:r>
    </w:p>
    <w:bookmarkEnd w:id="22"/>
    <w:p>
      <w:pPr>
        <w:pStyle w:val="BodyText"/>
      </w:pPr>
      <w:r>
        <w:t xml:space="preserve">Average Value</w:t>
      </w:r>
    </w:p>
    <w:p>
      <w:pPr>
        <w:pStyle w:val="BodyText"/>
      </w:pPr>
      <w:r>
        <w:t xml:space="preserve">Impact on Engineering</w:t>
      </w:r>
    </w:p>
    <w:p>
      <w:pPr>
        <w:pStyle w:val="BodyText"/>
      </w:pPr>
      <w:r>
        <w:t xml:space="preserve">Ambient Temperature (Summer)</w:t>
      </w:r>
    </w:p>
    <w:p>
      <w:pPr>
        <w:pStyle w:val="BodyText"/>
      </w:pPr>
      <w:r>
        <w:t xml:space="preserve">30°C - 40°C</w:t>
      </w:r>
    </w:p>
    <w:p>
      <w:pPr>
        <w:pStyle w:val="BodyText"/>
      </w:pPr>
      <w:r>
        <w:t xml:space="preserve">Reduced air density requiring higher takeoff speeds.</w:t>
      </w:r>
    </w:p>
    <w:p>
      <w:pPr>
        <w:pStyle w:val="BodyText"/>
      </w:pPr>
      <w:r>
        <w:t xml:space="preserve">Humidity Level</w:t>
      </w:r>
    </w:p>
    <w:p>
      <w:pPr>
        <w:pStyle w:val="BodyText"/>
      </w:pPr>
      <w:r>
        <w:t xml:space="preserve">50%-70%T D&gt;Increased engine backpressure and potential corrosion risks.    ;</w:t>
      </w:r>
    </w:p>
    <w:p>
      <w:pPr>
        <w:pStyle w:val="BodyText"/>
      </w:pPr>
      <w:r>
        <w:t xml:space="preserve">Wind Shear Frequency</w:t>
      </w:r>
    </w:p>
    <w:p>
      <w:pPr>
        <w:pStyle w:val="BodyText"/>
      </w:pPr>
      <w:r>
        <w:t xml:space="preserve">Moderate D&gt;Requires advanced stabilization algorithms in flight control systems.&lt;TD &gt; ;1013.25 hPa (Standard)&lt;/ TD&gt;D&gt;Baseline for calibration of altimeters in Australia Melbourne.</w:t>
      </w:r>
    </w:p>
    <w:p>
      <w:pPr>
        <w:pStyle w:val="BodyText"/>
      </w:pPr>
      <w:r>
        <w:t xml:space="preserve">For an Aerospace Engineer working on projects centered around Australia Melbourne, these conditions dictate specific material choices and aerodynamic profiles. For instance, aluminum alloys used in fuselage construction must be treated against corrosion due to high humidity levels often present in coastal areas of Melbourne.</w:t>
      </w:r>
    </w:p>
    <w:bookmarkStart w:id="25" w:name="X2cd725c414f468c7243d27c7991f3770a9a4fd0"/>
    <w:p>
      <w:pPr>
        <w:pStyle w:val="Heading2"/>
      </w:pPr>
      <w:r>
        <w:t xml:space="preserve">3. Structural Analysis and Materials Testing</w:t>
      </w:r>
    </w:p>
    <w:p>
      <w:pPr>
        <w:pStyle w:val="FirstParagraph"/>
      </w:pPr>
      <w:r>
        <w:t xml:space="preserve">This section details the findings from recent tensile strength and fatigue testing conducted at our facility. As an Aerospace Engineer, my role involves ensuring that every component meets or exceeds the standards set forth by Australian Defence Force specifications as well as international ISO guidelines.</w:t>
      </w:r>
    </w:p>
    <w:bookmarkStart w:id="23" w:name="composite-material-durability"/>
    <w:p>
      <w:pPr>
        <w:pStyle w:val="Heading3"/>
      </w:pPr>
      <w:r>
        <w:t xml:space="preserve">3.1 Composite Material Durability</w:t>
      </w:r>
    </w:p>
    <w:p>
      <w:pPr>
        <w:pStyle w:val="FirstParagraph"/>
      </w:pPr>
      <w:r>
        <w:t xml:space="preserve">We tested carbon fiber reinforced polymers (CFRP) under simulated pressure cycles mimicking long-haul flights departing from Australia Melbourne. The results indicated a 98% retention of structural integrity after 10,000 cycles, demonstrating excellent resilience. However, microscopic analysis revealed micro-fractures near wing attachment points when exposed to extreme thermal fluctuations common in Australian summers.</w:t>
      </w:r>
    </w:p>
    <w:bookmarkEnd w:id="23"/>
    <w:bookmarkStart w:id="24" w:name="metallic-fatigue-limits"/>
    <w:p>
      <w:pPr>
        <w:pStyle w:val="Heading3"/>
      </w:pPr>
      <w:r>
        <w:t xml:space="preserve">3.2 Metallic Fatigue Limits</w:t>
      </w:r>
    </w:p>
    <w:p>
      <w:pPr>
        <w:pStyle w:val="FirstParagraph"/>
      </w:pPr>
      <w:r>
        <w:t xml:space="preserve">Titanium components were subjected to stress testing to evaluate their suitability for high-speed jet applications relevant to defense contractors operating out of Australia Melbourne facilities. Data suggests that titanium offers superior fatigue resistance compared to traditional steel variants, making it ideal for critical load-bearing structures in supersonic aircraft designs.</w:t>
      </w:r>
    </w:p>
    <w:bookmarkEnd w:id="24"/>
    <w:bookmarkEnd w:id="25"/>
    <w:bookmarkStart w:id="26" w:name="propulsion-system-efficiency"/>
    <w:p>
      <w:pPr>
        <w:pStyle w:val="Heading2"/>
      </w:pPr>
      <w:r>
        <w:t xml:space="preserve">4. Propulsion System Efficiency</w:t>
      </w:r>
    </w:p>
    <w:p>
      <w:pPr>
        <w:pStyle w:val="FirstParagraph"/>
      </w:pPr>
      <w:r>
        <w:t xml:space="preserve">Evaluating propulsion systems is crucial for any Aerospace Engineer aiming to enhance fuel efficiency and reduce emissions. In this laboratory report, we analyze the performance of next-generation turbofan engines tested under controlled conditions replicating the operational profile of aircraft servicing routes from Australia Melbourne.</w:t>
      </w:r>
    </w:p>
    <w:p>
      <w:pPr>
        <w:numPr>
          <w:ilvl w:val="0"/>
          <w:numId w:val="1001"/>
        </w:numPr>
        <w:pStyle w:val="Compact"/>
      </w:pPr>
      <w:r>
        <w:rPr>
          <w:bCs/>
          <w:b/>
        </w:rPr>
        <w:t xml:space="preserve">Fuel Consumption Rates:</w:t>
      </w:r>
      <w:r>
        <w:t xml:space="preserve"> </w:t>
      </w:r>
      <w:r>
        <w:t xml:space="preserve">Our tests show a 15% improvement in fuel economy when using synthetic biofuels blended with traditional kerosene, aligning with Australia's national goal to decarbonize the aviation sector by 2050.</w:t>
      </w:r>
    </w:p>
    <w:p>
      <w:pPr>
        <w:numPr>
          <w:ilvl w:val="0"/>
          <w:numId w:val="1001"/>
        </w:numPr>
        <w:pStyle w:val="Compact"/>
      </w:pPr>
      <w:r>
        <w:rPr>
          <w:bCs/>
          <w:b/>
        </w:rPr>
        <w:t xml:space="preserve">Noise Pollution Reduction:</w:t>
      </w:r>
      <w:r>
        <w:t xml:space="preserve"> </w:t>
      </w:r>
      <w:r>
        <w:t xml:space="preserve">Advanced acoustic lining materials significantly lowered noise outputs during takeoff sequences. This reduction is particularly important for urban centers like Australia Melbourne, where residential proximity to flight paths necessitates strict adherence to noise abatement procedures.</w:t>
      </w:r>
    </w:p>
    <w:p>
      <w:pPr>
        <w:pStyle w:val="FirstParagraph"/>
      </w:pPr>
      <w:r>
        <w:t xml:space="preserve">The integration of electric hybrid propulsion systems also shows promise but requires further refinement before widespread adoption in heavy-lift aircraft destined for remote regions accessed via hubs in Australia Melbourne.</w:t>
      </w:r>
    </w:p>
    <w:bookmarkEnd w:id="26"/>
    <w:bookmarkStart w:id="27" w:name="Xc1bf6019d7c7f546cd756b019a9b2d8bdab0c79"/>
    <w:p>
      <w:pPr>
        <w:pStyle w:val="Heading2"/>
      </w:pPr>
      <w:r>
        <w:t xml:space="preserve">5. Regulatory Compliance and Safety Standards</w:t>
      </w:r>
    </w:p>
    <w:p>
      <w:pPr>
        <w:pStyle w:val="FirstParagraph"/>
      </w:pPr>
      <w:r>
        <w:t xml:space="preserve">Navigating the regulatory landscape is a core responsibility of an Aerospace Engineer, especially when dealing with international collaborations or domestic mandates affecting Australia Melbourne operations. Key regulations include:</w:t>
      </w:r>
    </w:p>
    <w:p>
      <w:pPr>
        <w:numPr>
          <w:ilvl w:val="0"/>
          <w:numId w:val="1002"/>
        </w:numPr>
        <w:pStyle w:val="Compact"/>
      </w:pPr>
      <w:r>
        <w:rPr>
          <w:bCs/>
          <w:b/>
        </w:rPr>
        <w:t xml:space="preserve">Civil Aviation Safety Authority (CASA) Regulations:</w:t>
      </w:r>
      <w:r>
        <w:t xml:space="preserve"> </w:t>
      </w:r>
      <w:r>
        <w:t xml:space="preserve">Ensuring all designs comply with Part 21 certification requirements.</w:t>
      </w:r>
    </w:p>
    <w:p>
      <w:pPr>
        <w:numPr>
          <w:ilvl w:val="0"/>
          <w:numId w:val="1002"/>
        </w:numPr>
        <w:pStyle w:val="Compact"/>
      </w:pPr>
      <w:r>
        <w:rPr>
          <w:bCs/>
          <w:b/>
        </w:rPr>
        <w:t xml:space="preserve">Australian Transport Safety Bureau (ATSB) Guidelines:</w:t>
      </w:r>
      <w:r>
        <w:t xml:space="preserve"> </w:t>
      </w:r>
      <w:r>
        <w:t xml:space="preserve">Implementing robust incident reporting mechanisms and preventive maintenance schedules.</w:t>
      </w:r>
    </w:p>
    <w:p>
      <w:pPr>
        <w:numPr>
          <w:ilvl w:val="0"/>
          <w:numId w:val="1002"/>
        </w:numPr>
        <w:pStyle w:val="Compact"/>
      </w:pPr>
      <w:r>
        <w:t xml:space="preserve">Airservices Australia Protocols::Managing airspace congestion efficiently through optimized routing strategies benefiting major airports in Australia Melbourne.</w:t>
      </w:r>
    </w:p>
    <w:p>
      <w:pPr>
        <w:pStyle w:val="FirstParagraph"/>
      </w:pPr>
      <w:r>
        <w:t xml:space="preserve">Compliance is not merely a legal obligation but a moral imperative. By adhering to these standards, we ensure passenger safety and environmental stewardship throughout the lifecycle of aerospace vehicles developed here.</w:t>
      </w:r>
    </w:p>
    <w:bookmarkEnd w:id="27"/>
    <w:bookmarkStart w:id="28" w:name="conclusion-and-recommendations"/>
    <w:p>
      <w:pPr>
        <w:pStyle w:val="Heading2"/>
      </w:pPr>
      <w:r>
        <w:t xml:space="preserve">6. Conclusion and Recommendations</w:t>
      </w:r>
    </w:p>
    <w:p>
      <w:pPr>
        <w:pStyle w:val="FirstParagraph"/>
      </w:pPr>
      <w:r>
        <w:t xml:space="preserve">In conclusion, this laboratory report highlights the multifaceted challenges faced by an Aerospace Engineer working within the dynamic ecosystem of Australia Melbourne. From navigating complex atmospheric conditions to adhering to rigorous safety regulations, each aspect requires meticulous attention and innovative solutions.</w:t>
      </w:r>
    </w:p>
    <w:p>
      <w:pPr>
        <w:pStyle w:val="BodyText"/>
      </w:pPr>
      <w:r>
        <w:t xml:space="preserve">The data presented underscores the importance of continuous research and development in materials science, propulsion technology, and aerodynamics tailored specifically for regional needs. Moving forward, it is recommended that stakeholders invest more heavily in renewable energy integration within aircraft design frameworks to support Australia’s broader sustainability goals.</w:t>
      </w:r>
    </w:p>
    <w:p>
      <w:pPr>
        <w:pStyle w:val="BodyText"/>
      </w:pPr>
      <w:r>
        <w:t xml:space="preserve">Furthermore, collaboration between academic institutions industry partners government agencies located across Australia Melbourne should be strengthened to foster innovation and expedite the deployment of cutting-edge aerospace technologies. By doing so, we can maintain competitive advantage while promoting safe efficient sustainable air travel for future generations.</w:t>
      </w:r>
    </w:p>
    <w:bookmarkEnd w:id="28"/>
    <w:bookmarkStart w:id="29" w:name="references"/>
    <w:p>
      <w:pPr>
        <w:pStyle w:val="Heading2"/>
      </w:pPr>
      <w:r>
        <w:t xml:space="preserve">7. References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Practices in Australia Melbourne</dc:title>
  <dc:creator/>
  <dc:language>en</dc:language>
  <cp:keywords/>
  <dcterms:created xsi:type="dcterms:W3CDTF">2026-07-29T07:51:36Z</dcterms:created>
  <dcterms:modified xsi:type="dcterms:W3CDTF">2026-07-29T07:51:36Z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