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Chile</w:t>
      </w:r>
      <w:r>
        <w:t xml:space="preserve"> </w:t>
      </w:r>
      <w:r>
        <w:t xml:space="preserve">Santiago</w:t>
      </w:r>
    </w:p>
    <w:p>
      <w:pPr>
        <w:pStyle w:val="FirstParagraph"/>
      </w:pPr>
      <w:r>
        <w:t xml:space="preserve">```html</w:t>
      </w:r>
    </w:p>
    <w:bookmarkStart w:id="20" w:name="aerospace-engineer-lab-report"/>
    <w:p>
      <w:pPr>
        <w:pStyle w:val="Heading1"/>
      </w:pPr>
      <w:r>
        <w:t xml:space="preserve">Aerospace Engineer Lab Report</w:t>
      </w:r>
    </w:p>
    <w:p>
      <w:pPr>
        <w:pStyle w:val="FirstParagraph"/>
      </w:pPr>
      <w:r>
        <w:rPr>
          <w:bCs/>
          <w:b/>
        </w:rPr>
        <w:t xml:space="preserve">Institution:</w:t>
      </w:r>
      <w:r>
        <w:t xml:space="preserve"> </w:t>
      </w:r>
      <w:r>
        <w:t xml:space="preserve">National Institute of Aerospace Research (INIA) - Santiago Branch, Chile Santiago</w:t>
      </w:r>
    </w:p>
    <w:p>
      <w:pPr>
        <w:pStyle w:val="BodyText"/>
      </w:pPr>
      <w:r>
        <w:rPr>
          <w:bCs/>
          <w:b/>
        </w:rPr>
        <w:t xml:space="preserve">Date:</w:t>
      </w:r>
      <w:r>
        <w:t xml:space="preserve"> </w:t>
      </w:r>
      <w:r>
        <w:t xml:space="preserve">October 26, 2023</w:t>
      </w:r>
    </w:p>
    <w:p>
      <w:pPr>
        <w:pStyle w:val="BodyText"/>
      </w:pPr>
      <w:r>
        <w:rPr>
          <w:bCs/>
          <w:b/>
        </w:rPr>
        <w:t xml:space="preserve">Laboratory Code:</w:t>
      </w:r>
      <w:r>
        <w:t xml:space="preserve"> </w:t>
      </w:r>
      <w:r>
        <w:t xml:space="preserve">CH-SCL-AERO-45-B</w:t>
      </w:r>
    </w:p>
    <w:bookmarkEnd w:id="20"/>
    <w:bookmarkStart w:id="21" w:name="executive-summary"/>
    <w:p>
      <w:pPr>
        <w:pStyle w:val="Heading2"/>
      </w:pPr>
      <w:r>
        <w:t xml:space="preserve">1. Executive Summary</w:t>
      </w:r>
    </w:p>
    <w:p>
      <w:pPr>
        <w:pStyle w:val="FirstParagraph"/>
      </w:pPr>
      <w:r>
        <w:t xml:space="preserve">This comprehensive Lab Report details the aerodynamic performance analysis of a newly designed high-altitude surveillance drone prototype. The primary objective of this study was to evaluate the lift-to-drag ratio (L/D) and structural integrity under simulated conditions replicating the unique atmospheric profiles found in Chile Santiago, specifically accounting for altitude variations due to its location in the Andean foothills. As an Aerospace Engineer operating within this region, it is imperative to ensure that aerospace technologies are robust enough to handle high-altitude flight dynamics prevalent in South America's mountainous terrain. The findings from this</w:t>
      </w:r>
      <w:r>
        <w:t xml:space="preserve"> </w:t>
      </w:r>
      <w:r>
        <w:rPr>
          <w:bCs/>
          <w:b/>
        </w:rPr>
        <w:t xml:space="preserve">Aerospace Engineer</w:t>
      </w:r>
      <w:r>
        <w:t xml:space="preserve"> </w:t>
      </w:r>
      <w:r>
        <w:t xml:space="preserve">led investigation provide critical data for future deployment of unmanned aerial systems (UAS) across the diverse geographical landscapes of Chile Santiago and surrounding regions.</w:t>
      </w:r>
    </w:p>
    <w:bookmarkEnd w:id="21"/>
    <w:bookmarkStart w:id="22" w:name="introduction-and-objectives"/>
    <w:p>
      <w:pPr>
        <w:pStyle w:val="Heading2"/>
      </w:pPr>
      <w:r>
        <w:t xml:space="preserve">2. Introduction and Objectives</w:t>
      </w:r>
    </w:p>
    <w:p>
      <w:pPr>
        <w:pStyle w:val="FirstParagraph"/>
      </w:pPr>
      <w:r>
        <w:t xml:space="preserve">The role of an Aerospace Engineer extends beyond theoretical design; it involves rigorous empirical validation through laboratory testing. This report serves as a formal documentation of the wind tunnel experiments conducted at our facility in Chile Santiago. The region's distinct climate, characterized by dry air masses and significant elevation changes, poses unique challenges for aerodynamic efficiency.</w:t>
      </w:r>
    </w:p>
    <w:p>
      <w:pPr>
        <w:pStyle w:val="BodyText"/>
      </w:pPr>
      <w:r>
        <w:t xml:space="preserve">The specific objectives of this laboratory session were:</w:t>
      </w:r>
    </w:p>
    <w:p>
      <w:pPr>
        <w:numPr>
          <w:ilvl w:val="0"/>
          <w:numId w:val="1001"/>
        </w:numPr>
        <w:pStyle w:val="Compact"/>
      </w:pPr>
      <w:r>
        <w:t xml:space="preserve">To measure the coefficient of lift (Cl) and drag (Cd) at varying angles of attack.</w:t>
      </w:r>
    </w:p>
    <w:p>
      <w:pPr>
        <w:numPr>
          <w:ilvl w:val="0"/>
          <w:numId w:val="1001"/>
        </w:numPr>
        <w:pStyle w:val="Compact"/>
      </w:pPr>
      <w:r>
        <w:t xml:space="preserve">To simulate high-altitude air density conditions typical for flights originating from Chile Santiago.</w:t>
      </w:r>
    </w:p>
    <w:p>
      <w:pPr>
        <w:numPr>
          <w:ilvl w:val="0"/>
          <w:numId w:val="1001"/>
        </w:numPr>
        <w:pStyle w:val="Compact"/>
      </w:pPr>
      <w:r>
        <w:t xml:space="preserve">To assess the thermal stability of composite materials used in the drone's fuselage under prolonged exposure to simulated solar radiation, a common factor in this latitude.</w:t>
      </w:r>
    </w:p>
    <w:bookmarkEnd w:id="22"/>
    <w:bookmarkStart w:id="25" w:name="methodology-and-experimental-setup"/>
    <w:p>
      <w:pPr>
        <w:pStyle w:val="Heading2"/>
      </w:pPr>
      <w:r>
        <w:t xml:space="preserve">3. Methodology and Experimental Setup</w:t>
      </w:r>
    </w:p>
    <w:p>
      <w:pPr>
        <w:pStyle w:val="FirstParagraph"/>
      </w:pPr>
      <w:r>
        <w:t xml:space="preserve">The experiments were conducted using a subsonic wind tunnel capable of replicating airspeeds from 0 to 150 m/s. The model tested was a scaled-down replica (1:4 scale) of the intended full-size drone.</w:t>
      </w:r>
    </w:p>
    <w:bookmarkStart w:id="23" w:name="atmospheric-simulation"/>
    <w:p>
      <w:pPr>
        <w:pStyle w:val="Heading3"/>
      </w:pPr>
      <w:r>
        <w:t xml:space="preserve">3.1 Atmospheric Simulation</w:t>
      </w:r>
    </w:p>
    <w:p>
      <w:pPr>
        <w:pStyle w:val="FirstParagraph"/>
      </w:pPr>
      <w:r>
        <w:t xml:space="preserve">In Chile Santiago, air density plays a crucial role in flight performance due to the city's elevation of approximately 520 meters above sea level, while surrounding peaks exceed 4,000 meters. To accurately reflect these conditions, our</w:t>
      </w:r>
      <w:r>
        <w:t xml:space="preserve"> </w:t>
      </w:r>
      <w:r>
        <w:rPr>
          <w:bCs/>
          <w:b/>
        </w:rPr>
        <w:t xml:space="preserve">Aerospace Engineer</w:t>
      </w:r>
      <w:r>
        <w:t xml:space="preserve"> </w:t>
      </w:r>
      <w:r>
        <w:t xml:space="preserve">team adjusted the wind tunnel's pressure and temperature controls to simulate an air density of 1.18 kg/m³ (standard sea level) and subsequently reduced it to 0.73 kg/m³ to mimic altitudes above 4,000 meters, which are frequently encountered in regional operations.</w:t>
      </w:r>
    </w:p>
    <w:bookmarkEnd w:id="23"/>
    <w:bookmarkStart w:id="24" w:name="instrumentation"/>
    <w:p>
      <w:pPr>
        <w:pStyle w:val="Heading3"/>
      </w:pPr>
      <w:r>
        <w:t xml:space="preserve">3.2 Instrumentation</w:t>
      </w:r>
    </w:p>
    <w:p>
      <w:pPr>
        <w:numPr>
          <w:ilvl w:val="0"/>
          <w:numId w:val="1002"/>
        </w:numPr>
        <w:pStyle w:val="Compact"/>
      </w:pPr>
      <w:r>
        <w:rPr>
          <w:bCs/>
          <w:b/>
        </w:rPr>
        <w:t xml:space="preserve">Force Balance:</w:t>
      </w:r>
      <w:r>
        <w:t xml:space="preserve">A six-component strain gauge balance measured forces and moments with a precision of ±0.05 N.</w:t>
      </w:r>
    </w:p>
    <w:p>
      <w:pPr>
        <w:numPr>
          <w:ilvl w:val="0"/>
          <w:numId w:val="1002"/>
        </w:numPr>
        <w:pStyle w:val="Compact"/>
      </w:pPr>
      <w:r>
        <w:rPr>
          <w:bCs/>
          <w:b/>
        </w:rPr>
        <w:t xml:space="preserve">Pitot Tubes:</w:t>
      </w:r>
      <w:r>
        <w:t xml:space="preserve">Mapped static pressure distribution across the wing surfaces.</w:t>
      </w:r>
    </w:p>
    <w:p>
      <w:pPr>
        <w:numPr>
          <w:ilvl w:val="0"/>
          <w:numId w:val="1002"/>
        </w:numPr>
        <w:pStyle w:val="Compact"/>
      </w:pPr>
      <w:r>
        <w:rPr>
          <w:bCs/>
          <w:b/>
        </w:rPr>
        <w:t xml:space="preserve">Infrared Cameras:</w:t>
      </w:r>
      <w:r>
        <w:t xml:space="preserve">Monitored thermal gradients on the composite skin during high-speed runs to detect potential material fatigue points.</w:t>
      </w:r>
    </w:p>
    <w:bookmarkEnd w:id="24"/>
    <w:bookmarkEnd w:id="25"/>
    <w:bookmarkStart w:id="26" w:name="results-and-data-analysis"/>
    <w:p>
      <w:pPr>
        <w:pStyle w:val="Heading2"/>
      </w:pPr>
      <w:r>
        <w:t xml:space="preserve">4. Results and Data Analysis</w:t>
      </w:r>
    </w:p>
    <w:p>
      <w:pPr>
        <w:pStyle w:val="FirstParagraph"/>
      </w:pPr>
      <w:r>
        <w:t xml:space="preserve">The data collected indicates a direct correlation between air density variations and aerodynamic efficiency. The following table summarizes the key findings at an angle of attack (AoA) of 6 degrees, a critical parameter for stable surveillance flight.</w:t>
      </w:r>
    </w:p>
    <w:p>
      <w:pPr>
        <w:pStyle w:val="BodyText"/>
      </w:pPr>
      <w:r>
        <w:t xml:space="preserve">Air Density (kg/m³)</w:t>
      </w:r>
    </w:p>
    <w:p>
      <w:pPr>
        <w:pStyle w:val="BodyText"/>
      </w:pPr>
      <w:r>
        <w:t xml:space="preserve">Coefficient of Lift (Cl)</w:t>
      </w:r>
    </w:p>
    <w:p>
      <w:pPr>
        <w:pStyle w:val="BodyText"/>
      </w:pPr>
      <w:r>
        <w:t xml:space="preserve">Coefficient of Drag (Cd)</w:t>
      </w:r>
    </w:p>
    <w:p>
      <w:pPr>
        <w:pStyle w:val="BodyText"/>
      </w:pPr>
      <w:r>
        <w:t xml:space="preserve">Lift-to-Drag Ratio (L/D)</w:t>
      </w:r>
    </w:p>
    <w:p>
      <w:pPr>
        <w:pStyle w:val="BodyText"/>
      </w:pPr>
      <w:r>
        <w:t xml:space="preserve">&gt;</w:t>
      </w:r>
    </w:p>
    <w:p>
      <w:pPr>
        <w:pStyle w:val="BodyText"/>
      </w:pPr>
      <w:r>
        <w:t xml:space="preserve">&gt;</w:t>
      </w:r>
    </w:p>
    <w:p>
      <w:pPr>
        <w:pStyle w:val="BodyText"/>
      </w:pPr>
      <w:r>
        <w:t xml:space="preserve">&gt;</w:t>
      </w:r>
      <w:r>
        <w:t xml:space="preserve"> </w:t>
      </w:r>
      <w:r>
        <w:t xml:space="preserve">&gt;&gt; tr&gt; &gt;&gt; td style="background-color:#f2f2f2;"&gt; &gt; Standard Sea Level (&gt; /td&gt; &gt; td style="background-color:#f2f2e8;"&gt;0.78/&gt; /td&gt; &gt; td style="background-color:#ffe6e6;"&gt;0.15/&gt; /td&gt;&gt; tr&gt; &gt;&gt; td style="background-color:#fff3cd;"&gt;High Altitude (4km)&gt; /td&gt;&gt; tr&gt; &gt;&gt; td style="background-color:#f2f2f2;"&gt; 0.73/&gt; /td&gt; &gt; td style="background-color:#ffe6e6;"&gt; 1.52/&gt; /td&gt;&gt; tr&gt;</w:t>
      </w:r>
    </w:p>
    <w:p>
      <w:pPr>
        <w:pStyle w:val="BodyText"/>
      </w:pPr>
      <w:r>
        <w:t xml:space="preserve">&gt;</w:t>
      </w:r>
    </w:p>
    <w:p>
      <w:pPr>
        <w:pStyle w:val="BodyText"/>
      </w:pPr>
      <w:r>
        <w:t xml:space="preserve">&gt;</w:t>
      </w:r>
    </w:p>
    <w:p>
      <w:pPr>
        <w:pStyle w:val="BodyText"/>
      </w:pPr>
      <w:r>
        <w:rPr>
          <w:iCs/>
          <w:i/>
        </w:rPr>
        <w:t xml:space="preserve">Note: The Lift-to-Drag ratio decreased significantly at high altitudes, indicating the need for larger wing surfaces or higher rotational speeds for drones operating in the upper Andean regions accessible from Chile Santiago.</w:t>
      </w:r>
    </w:p>
    <w:bookmarkEnd w:id="26"/>
    <w:bookmarkStart w:id="27" w:name="discussion"/>
    <w:p>
      <w:pPr>
        <w:pStyle w:val="Heading2"/>
      </w:pPr>
      <w:r>
        <w:t xml:space="preserve">5. Discussion</w:t>
      </w:r>
    </w:p>
    <w:p>
      <w:pPr>
        <w:pStyle w:val="FirstParagraph"/>
      </w:pPr>
      <w:r>
        <w:t xml:space="preserve">The results highlight a critical challenge for Aerospace Engineers developing technology specifically for the South American market. The thinner air at high altitudes requires a substantial increase in velocity to generate equivalent lift compared to sea-level conditions. For an operation based in Chile Santiago, this means that drones launching from the city center may perform differently than those launching from outposts near Aconcagua or other high-altitude sites.</w:t>
      </w:r>
    </w:p>
    <w:p>
      <w:pPr>
        <w:pStyle w:val="BodyText"/>
      </w:pPr>
      <w:r>
        <w:t xml:space="preserve">Furthermore, the thermal analysis revealed that carbon-fiber reinforced polymers (CFRP) used in the prototype exhibited a 12% reduction in stiffness when exposed to simulated intense UV radiation, common at this latitude due to thinner ozone layers at altitude. This finding necessitates a redesign of the protective coating applied by our team of</w:t>
      </w:r>
      <w:r>
        <w:t xml:space="preserve"> </w:t>
      </w:r>
      <w:r>
        <w:rPr>
          <w:bCs/>
          <w:b/>
        </w:rPr>
        <w:t xml:space="preserve">Aerospace Engineers</w:t>
      </w:r>
      <w:r>
        <w:t xml:space="preserve"> </w:t>
      </w:r>
      <w:r>
        <w:t xml:space="preserve">to ensure longevity in the harsh environment of Chile Santiago and its surrounding territories.</w:t>
      </w:r>
    </w:p>
    <w:bookmarkEnd w:id="27"/>
    <w:bookmarkStart w:id="28" w:name="conclusion"/>
    <w:p>
      <w:pPr>
        <w:pStyle w:val="Heading2"/>
      </w:pPr>
      <w:r>
        <w:t xml:space="preserve">6. Conclusion</w:t>
      </w:r>
    </w:p>
    <w:p>
      <w:pPr>
        <w:pStyle w:val="FirstParagraph"/>
      </w:pPr>
      <w:r>
        <w:t xml:space="preserve">This Lab Report confirms that while the prototype drone demonstrates excellent aerodynamic stability at sea-level conditions, significant modifications are required for high-altitude efficacy. The data gathered by our</w:t>
      </w:r>
      <w:r>
        <w:t xml:space="preserve"> </w:t>
      </w:r>
      <w:r>
        <w:rPr>
          <w:bCs/>
          <w:b/>
        </w:rPr>
        <w:t xml:space="preserve">Aerospace Engineer</w:t>
      </w:r>
      <w:r>
        <w:t xml:space="preserve"> </w:t>
      </w:r>
      <w:r>
        <w:t xml:space="preserve">team provides a clear roadmap for iterative design improvements. As aerospace technology continues to grow in Chile Santiago, it is vital to account for local geographical and atmospheric variables to ensure safety, efficiency, and reliability.</w:t>
      </w:r>
    </w:p>
    <w:p>
      <w:pPr>
        <w:pStyle w:val="BodyText"/>
      </w:pPr>
      <w:r>
        <w:t xml:space="preserve">We recommend increasing the wing area by 15% and applying a UV-resistant ceramic coating for future models intended for high-altitude operations. These adjustments will optimize performance across the diverse vertical gradients experienced in Chile Santiago.</w:t>
      </w:r>
    </w:p>
    <w:bookmarkEnd w:id="28"/>
    <w:bookmarkStart w:id="29" w:name="references-and-acknowledgments"/>
    <w:p>
      <w:pPr>
        <w:pStyle w:val="Heading2"/>
      </w:pPr>
      <w:r>
        <w:t xml:space="preserve">7. References and Acknowledgments</w:t>
      </w:r>
    </w:p>
    <w:p>
      <w:pPr>
        <w:pStyle w:val="FirstParagraph"/>
      </w:pPr>
      <w:r>
        <w:t xml:space="preserve">We acknowledge the technical support provided by the engineering staff at our laboratory in Chile Santiago. The data presented herein adheres to international standards for aerospace testing, tailored specifically for regional applications.</w:t>
      </w:r>
    </w:p>
    <w:p>
      <w:pPr>
        <w:pStyle w:val="BodyText"/>
      </w:pPr>
      <w:r>
        <w:rPr>
          <w:bCs/>
          <w:b/>
        </w:rPr>
        <w:t xml:space="preserve">Prepared by:</w:t>
      </w:r>
      <w:r>
        <w:t xml:space="preserve"> </w:t>
      </w:r>
      <w:r>
        <w:t xml:space="preserve">Senior Aerospace Engineering Team</w:t>
      </w:r>
      <w:r>
        <w:br/>
      </w:r>
      <w:r>
        <w:rPr>
          <w:bCs/>
          <w:b/>
        </w:rPr>
        <w:t xml:space="preserve">Laboratory Location:</w:t>
      </w:r>
      <w:r>
        <w:t xml:space="preserve"> </w:t>
      </w:r>
      <w:r>
        <w:t xml:space="preserve">Santiago, Chile</w:t>
      </w:r>
      <w:r>
        <w:br/>
      </w:r>
      <w:r>
        <w:rPr>
          <w:iCs/>
          <w:i/>
        </w:rPr>
        <w:t xml:space="preserve">All rights reserved. This document is the property of the Aerospace Research Institute of Chile Santiago.</w:t>
      </w:r>
    </w:p>
    <w:p>
      <w:pPr>
        <w:pStyle w:val="BodyText"/>
      </w:pPr>
      <w:r>
        <w:t xml:space="preserve">&gt;</w:t>
      </w:r>
    </w:p>
    <w:p>
      <w:pPr>
        <w:pStyle w:val="BodyText"/>
      </w:pPr>
      <w:r>
        <w:t xml:space="preserve">&gt;</w:t>
      </w:r>
    </w:p>
    <w:p>
      <w:pPr>
        <w:pStyle w:val="BodyText"/>
      </w:pPr>
      <w:r>
        <w:t xml:space="preserve">&gt;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 Chile Santiago</dc:title>
  <dc:creator/>
  <dc:language>en</dc:language>
  <cp:keywords/>
  <dcterms:created xsi:type="dcterms:W3CDTF">2026-07-29T12:53:18Z</dcterms:created>
  <dcterms:modified xsi:type="dcterms:W3CDTF">2026-07-29T12:53:18Z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