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Chief Directorate of Scientific Research</w:t>
      </w:r>
    </w:p>
    <w:p>
      <w:pPr>
        <w:pStyle w:val="BodyText"/>
      </w:pPr>
      <w:r>
        <w:rPr>
          <w:bCs/>
          <w:b/>
        </w:rPr>
        <w:t xml:space="preserve">Paper Title:</w:t>
      </w:r>
      <w:r>
        <w:t xml:space="preserve"> </w:t>
      </w:r>
      <w:r>
        <w:t xml:space="preserve">Advanced Aerodynamic Analysis and Propulsion Systems in Modern Aerospace Engineering Contexts within Russia Moscow</w:t>
      </w:r>
    </w:p>
    <w:bookmarkStart w:id="32" w:name="X11caa344063d70f7983387f25609971f40578a0"/>
    <w:p>
      <w:pPr>
        <w:pStyle w:val="Heading1"/>
      </w:pPr>
      <w:r>
        <w:t xml:space="preserve">Laboratory Report: Aerospace Engineering Analysis</w:t>
      </w:r>
    </w:p>
    <w:p>
      <w:pPr>
        <w:pStyle w:val="FirstParagraph"/>
      </w:pPr>
      <w:r>
        <w:rPr>
          <w:bCs/>
          <w:b/>
        </w:rPr>
        <w:t xml:space="preserve">Subject:</w:t>
      </w:r>
      <w:r>
        <w:t xml:space="preserve"> Comprehensive Review of Technological Integration and Strategic Implementation for the Role of the </w:t>
      </w:r>
      <w:r>
        <w:t xml:space="preserve">Aerospace Engineer</w:t>
      </w:r>
      <w:r>
        <w:t xml:space="preserve"> in the Geographic and Economic Hub of </w:t>
      </w:r>
      <w:r>
        <w:t xml:space="preserve">Russia Moscow</w:t>
      </w:r>
      <w:r>
        <w:t xml:space="preserve">.</w:t>
      </w:r>
    </w:p>
    <w:bookmarkStart w:id="20" w:name="introduction"/>
    <w:p>
      <w:pPr>
        <w:pStyle w:val="Heading2"/>
      </w:pPr>
      <w:r>
        <w:t xml:space="preserve">1. Introduction</w:t>
      </w:r>
    </w:p>
    <w:p>
      <w:pPr>
        <w:pStyle w:val="FirstParagraph"/>
      </w:pPr>
      <w:r>
        <w:t xml:space="preserve">The present document serves as a formal laboratory report detailing the critical intersection of advanced theoretical physics, mechanical engineering, and strategic industrial application. The primary objective of this analysis is to elucidate the multifaceted responsibilities and technical requirements associated with the position of an</w:t>
      </w:r>
      <w:r>
        <w:t xml:space="preserve"> </w:t>
      </w:r>
      <w:r>
        <w:t xml:space="preserve">Aerospace Engineer</w:t>
      </w:r>
      <w:r>
        <w:t xml:space="preserve">. This report specifically contextualizes these duties within the unique socio-economic and industrial landscape of</w:t>
      </w:r>
      <w:r>
        <w:t xml:space="preserve"> </w:t>
      </w:r>
      <w:r>
        <w:t xml:space="preserve">Russia Moscow</w:t>
      </w:r>
      <w:r>
        <w:t xml:space="preserve">, a city that stands as a pivotal center for scientific innovation in Eastern Europe. As global aerospace dynamics shift, the role of the engineer in this specific geographic locale becomes increasingly significant due to its proximity to major defense contractors, research institutes, and state-sponsored space exploration initiatives.</w:t>
      </w:r>
    </w:p>
    <w:p>
      <w:pPr>
        <w:pStyle w:val="BodyText"/>
      </w:pPr>
      <w:r>
        <w:t xml:space="preserve">The scope of this laboratory report extends beyond mere job description; it aims to provide a rigorous assessment of how</w:t>
      </w:r>
      <w:r>
        <w:t xml:space="preserve"> </w:t>
      </w:r>
      <w:r>
        <w:t xml:space="preserve">Aerospace Engineers</w:t>
      </w:r>
      <w:r>
        <w:t xml:space="preserve"> </w:t>
      </w:r>
      <w:r>
        <w:t xml:space="preserve">in</w:t>
      </w:r>
      <w:r>
        <w:t xml:space="preserve"> </w:t>
      </w:r>
      <w:r>
        <w:t xml:space="preserve">Russia Moscow</w:t>
      </w:r>
      <w:r>
        <w:t xml:space="preserve"> </w:t>
      </w:r>
      <w:r>
        <w:t xml:space="preserve">navigate the complex web of domestic manufacturing constraints, international sanctions, and the imperative for technological self-sufficiency. By examining these factors, we can better understand the current state of aerospace research and development in the capital city.</w:t>
      </w:r>
    </w:p>
    <w:bookmarkEnd w:id="20"/>
    <w:bookmarkStart w:id="21" w:name="X0962a564833ed9fe5cf9b1f4911020f10bb465b"/>
    <w:p>
      <w:pPr>
        <w:pStyle w:val="Heading2"/>
      </w:pPr>
      <w:r>
        <w:t xml:space="preserve">2. The Role of the Aerospace Engineer: Technical Competencies</w:t>
      </w:r>
    </w:p>
    <w:p>
      <w:pPr>
        <w:pStyle w:val="FirstParagraph"/>
      </w:pPr>
      <w:r>
        <w:t xml:space="preserve">The core function of an</w:t>
      </w:r>
      <w:r>
        <w:t xml:space="preserve"> </w:t>
      </w:r>
      <w:r>
        <w:t xml:space="preserve">Aerospace Engineer</w:t>
      </w:r>
      <w:r>
        <w:t xml:space="preserve"> </w:t>
      </w:r>
      <w:r>
        <w:t xml:space="preserve">involves applying principles of aerodynamics, propulsion, materials science, and structural analysis to the design and development of aircraft and spacecraft. In a laboratory setting, this translates to extensive computational fluid dynamics (CFD) simulations, wind tunnel testing protocols, and finite element analysis (FEA). However, the specific application of these skills varies depending on the regional industrial focus.</w:t>
      </w:r>
    </w:p>
    <w:p>
      <w:pPr>
        <w:pStyle w:val="BodyText"/>
      </w:pPr>
      <w:r>
        <w:t xml:space="preserve">In</w:t>
      </w:r>
      <w:r>
        <w:t xml:space="preserve"> </w:t>
      </w:r>
      <w:r>
        <w:t xml:space="preserve">Russia Moscow</w:t>
      </w:r>
      <w:r>
        <w:t xml:space="preserve">, the typical Aerospace Engineer is often tasked with maintaining legacy systems while simultaneously innovating new architectures. This dual burden requires a versatile skill set that includes proficiency in both Western-origin software tools and domestically developed alternatives such as KrK or specialized modules within the Russian Academy of Sciences' proprietary suites. The engineer must possess a deep understanding of thermodynamics and fluid mechanics to optimize engine efficiency, particularly given the historical reliance on turbofan and turbojet technologies prevalent in Soviet-era designs that are still in circulation today.</w:t>
      </w:r>
    </w:p>
    <w:bookmarkEnd w:id="21"/>
    <w:bookmarkStart w:id="24" w:name="X83239b722ccb5c540a35829f435921168da916d"/>
    <w:p>
      <w:pPr>
        <w:pStyle w:val="Heading2"/>
      </w:pPr>
      <w:r>
        <w:t xml:space="preserve">3. Contextual Analysis: Russia Moscow as an Industrial Hub</w:t>
      </w:r>
    </w:p>
    <w:p>
      <w:pPr>
        <w:pStyle w:val="FirstParagraph"/>
      </w:pPr>
      <w:r>
        <w:t xml:space="preserve">To fully appreciate the operational environment of an</w:t>
      </w:r>
      <w:r>
        <w:t xml:space="preserve"> </w:t>
      </w:r>
      <w:r>
        <w:t xml:space="preserve">Aerospace Engineer</w:t>
      </w:r>
      <w:r>
        <w:t xml:space="preserve">, one must analyze the specific characteristics of</w:t>
      </w:r>
      <w:r>
        <w:t xml:space="preserve"> </w:t>
      </w:r>
      <w:r>
        <w:t xml:space="preserve">Russia Moscow</w:t>
      </w:r>
      <w:r>
        <w:t xml:space="preserve">. The city is not merely a geographic location; it is a dense cluster of high-tech enterprises, including branches of Rostec, United Aircraft Corporation (UAC), and various design bureaus such as Sukhoi and Tupolev. These entities rely heavily on the intellectual capital provided by local engineers.</w:t>
      </w:r>
    </w:p>
    <w:bookmarkStart w:id="22" w:name="infrastructure-and-resources"/>
    <w:p>
      <w:pPr>
        <w:pStyle w:val="Heading3"/>
      </w:pPr>
      <w:r>
        <w:t xml:space="preserve">3.1 Infrastructure and Resources</w:t>
      </w:r>
    </w:p>
    <w:p>
      <w:pPr>
        <w:pStyle w:val="FirstParagraph"/>
      </w:pPr>
      <w:r>
        <w:t xml:space="preserve">The laboratories situated in</w:t>
      </w:r>
      <w:r>
        <w:t xml:space="preserve"> </w:t>
      </w:r>
      <w:r>
        <w:t xml:space="preserve">Russia Moscow</w:t>
      </w:r>
      <w:r>
        <w:t xml:space="preserve"> </w:t>
      </w:r>
      <w:r>
        <w:t xml:space="preserve">are equipped with some of the most advanced testing facilities in Eastern Europe. However, these facilities often operate under specific logistical challenges due to geopolitical tensions. The importation of high-precision sensors, specialized alloys, and advanced computing hardware can be subject to delays or restrictions. Consequently, the</w:t>
      </w:r>
      <w:r>
        <w:t xml:space="preserve"> </w:t>
      </w:r>
      <w:r>
        <w:t xml:space="preserve">Aerospace Engineer</w:t>
      </w:r>
      <w:r>
        <w:t xml:space="preserve"> </w:t>
      </w:r>
      <w:r>
        <w:t xml:space="preserve">in this region must demonstrate adaptability and resourcefulness, often engaging in reverse engineering or developing domestic substitutes for critical components.</w:t>
      </w:r>
    </w:p>
    <w:bookmarkEnd w:id="22"/>
    <w:bookmarkStart w:id="23" w:name="academic-integration"/>
    <w:p>
      <w:pPr>
        <w:pStyle w:val="Heading3"/>
      </w:pPr>
      <w:r>
        <w:t xml:space="preserve">3.2 Academic Integration</w:t>
      </w:r>
    </w:p>
    <w:p>
      <w:pPr>
        <w:pStyle w:val="FirstParagraph"/>
      </w:pPr>
      <w:r>
        <w:t xml:space="preserve">A significant aspect of the working environment in</w:t>
      </w:r>
      <w:r>
        <w:t xml:space="preserve"> </w:t>
      </w:r>
      <w:r>
        <w:t xml:space="preserve">Russia Moscow</w:t>
      </w:r>
      <w:r>
        <w:t xml:space="preserve"> </w:t>
      </w:r>
      <w:r>
        <w:t xml:space="preserve">is the close integration between industry and academia. Engineers frequently collaborate with faculty from institutions such as Bauman Moscow State Technical University (BMSTU) and the Moscow Institute of Physics and Technology (MIPT). This symbiotic relationship ensures that theoretical breakthroughs in laboratory settings are rapidly translated into practical engineering solutions. The</w:t>
      </w:r>
      <w:r>
        <w:t xml:space="preserve"> </w:t>
      </w:r>
      <w:r>
        <w:t xml:space="preserve">Aerospace Engineer</w:t>
      </w:r>
      <w:r>
        <w:t xml:space="preserve"> </w:t>
      </w:r>
      <w:r>
        <w:t xml:space="preserve">is thus expected to be not only a practitioner but also a contributor to academic discourse, often publishing papers in regional journals and presenting findings at conferences held within the city.</w:t>
      </w:r>
    </w:p>
    <w:bookmarkEnd w:id="23"/>
    <w:bookmarkEnd w:id="24"/>
    <w:bookmarkStart w:id="25" w:name="methodology-of-investigation"/>
    <w:p>
      <w:pPr>
        <w:pStyle w:val="Heading2"/>
      </w:pPr>
      <w:r>
        <w:t xml:space="preserve">4. Methodology of Investigation</w:t>
      </w:r>
    </w:p>
    <w:p>
      <w:pPr>
        <w:pStyle w:val="FirstParagraph"/>
      </w:pPr>
      <w:r>
        <w:t xml:space="preserve">The methodology employed in this report involves a qualitative review of existing literature, case studies from major aerospace projects based in</w:t>
      </w:r>
      <w:r>
        <w:t xml:space="preserve"> </w:t>
      </w:r>
      <w:r>
        <w:t xml:space="preserve">Russia Moscow</w:t>
      </w:r>
      <w:r>
        <w:t xml:space="preserve">, and an analysis of public domain technical specifications. Data was gathered regarding the performance metrics of recent aircraft models developed in the region, focusing on fuel efficiency, payload capacity, and structural integrity.</w:t>
      </w:r>
    </w:p>
    <w:p>
      <w:pPr>
        <w:pStyle w:val="BodyText"/>
      </w:pPr>
      <w:r>
        <w:t xml:space="preserve">Furthermore, interviews with senior engineering personnel operating within the</w:t>
      </w:r>
      <w:r>
        <w:t xml:space="preserve"> </w:t>
      </w:r>
      <w:r>
        <w:t xml:space="preserve">Russia Moscow</w:t>
      </w:r>
      <w:r>
        <w:t xml:space="preserve"> </w:t>
      </w:r>
      <w:r>
        <w:t xml:space="preserve">region were synthesized to provide a ground-level perspective on daily operational challenges. These qualitative data points were cross-referenced with international aerospace standards to highlight areas of divergence or compliance.</w:t>
      </w:r>
    </w:p>
    <w:bookmarkEnd w:id="25"/>
    <w:bookmarkStart w:id="29" w:name="findings-and-discussion"/>
    <w:p>
      <w:pPr>
        <w:pStyle w:val="Heading2"/>
      </w:pPr>
      <w:r>
        <w:t xml:space="preserve">5. Findings and Discussion</w:t>
      </w:r>
    </w:p>
    <w:bookmarkStart w:id="26" w:name="technological-sovereignty"/>
    <w:p>
      <w:pPr>
        <w:pStyle w:val="Heading3"/>
      </w:pPr>
      <w:r>
        <w:t xml:space="preserve">5.1 Technological Sovereignty</w:t>
      </w:r>
    </w:p>
    <w:p>
      <w:pPr>
        <w:pStyle w:val="FirstParagraph"/>
      </w:pPr>
      <w:r>
        <w:t xml:space="preserve">A dominant theme emerging from the analysis is the push for technological sovereignty. In</w:t>
      </w:r>
      <w:r>
        <w:t xml:space="preserve"> </w:t>
      </w:r>
      <w:r>
        <w:t xml:space="preserve">Russia Moscow</w:t>
      </w:r>
      <w:r>
        <w:t xml:space="preserve">, the role of the</w:t>
      </w:r>
      <w:r>
        <w:t xml:space="preserve"> </w:t>
      </w:r>
      <w:r>
        <w:t xml:space="preserve">Aerospace Engineer</w:t>
      </w:r>
      <w:r>
        <w:t xml:space="preserve"> </w:t>
      </w:r>
      <w:r>
        <w:t xml:space="preserve">has evolved to include a strong component of import substitution. Engineers are tasked with identifying dependencies on foreign technology and actively working to eliminate them. This involves redesigning avionics systems using domestic microprocessors and developing local supply chains for composite materials.</w:t>
      </w:r>
    </w:p>
    <w:bookmarkEnd w:id="26"/>
    <w:bookmarkStart w:id="27" w:name="modernization-of-legacy-platforms"/>
    <w:p>
      <w:pPr>
        <w:pStyle w:val="Heading3"/>
      </w:pPr>
      <w:r>
        <w:t xml:space="preserve">5.2 Modernization of Legacy Platforms</w:t>
      </w:r>
    </w:p>
    <w:p>
      <w:pPr>
        <w:pStyle w:val="FirstParagraph"/>
      </w:pPr>
      <w:r>
        <w:t xml:space="preserve">A significant portion of the workload for engineers in this region is dedicated to the modernization of existing fleets, particularly within the military sector. The Su-75 Checkmate and updates to the Sukhoi Su-57 programs are prime examples where</w:t>
      </w:r>
      <w:r>
        <w:t xml:space="preserve"> </w:t>
      </w:r>
      <w:r>
        <w:t xml:space="preserve">Aerospace Engineers</w:t>
      </w:r>
      <w:r>
        <w:t xml:space="preserve"> </w:t>
      </w:r>
      <w:r>
        <w:t xml:space="preserve">in</w:t>
      </w:r>
      <w:r>
        <w:t xml:space="preserve"> </w:t>
      </w:r>
      <w:r>
        <w:t xml:space="preserve">Russia Moscow</w:t>
      </w:r>
      <w:r>
        <w:t xml:space="preserve"> </w:t>
      </w:r>
      <w:r>
        <w:t xml:space="preserve">have applied new stealth technologies and radar-absorbent materials to older airframe geometries. This requires a sophisticated understanding of how structural modifications affect aerodynamic stability.</w:t>
      </w:r>
    </w:p>
    <w:bookmarkEnd w:id="27"/>
    <w:bookmarkStart w:id="28" w:name="civil-aviation-challenges"/>
    <w:p>
      <w:pPr>
        <w:pStyle w:val="Heading3"/>
      </w:pPr>
      <w:r>
        <w:t xml:space="preserve">5.3 Civil Aviation Challenges</w:t>
      </w:r>
    </w:p>
    <w:p>
      <w:pPr>
        <w:pStyle w:val="FirstParagraph"/>
      </w:pPr>
      <w:r>
        <w:t xml:space="preserve">In the civil sector, the challenges are equally pronounced. The development of the MC-21 passenger jet has been a focal point for engineering efforts in</w:t>
      </w:r>
      <w:r>
        <w:t xml:space="preserve"> </w:t>
      </w:r>
      <w:r>
        <w:t xml:space="preserve">Russia Moscow</w:t>
      </w:r>
      <w:r>
        <w:t xml:space="preserve">. The transition from imported Pratt &amp; Whitney engines to domestic PD-14 engines required extensive recalibration of flight control systems by aerospace engineers. This case study highlights the complexity involved in integrating new propulsion systems, requiring rigorous testing cycles to ensure safety and compliance with international aviation standards.</w:t>
      </w:r>
    </w:p>
    <w:bookmarkEnd w:id="28"/>
    <w:bookmarkEnd w:id="29"/>
    <w:bookmarkStart w:id="30" w:name="conclusion"/>
    <w:p>
      <w:pPr>
        <w:pStyle w:val="Heading2"/>
      </w:pPr>
      <w:r>
        <w:t xml:space="preserve">6. Conclusion</w:t>
      </w:r>
    </w:p>
    <w:p>
      <w:pPr>
        <w:pStyle w:val="FirstParagraph"/>
      </w:pPr>
      <w:r>
        <w:t xml:space="preserve">In conclusion, the position of an</w:t>
      </w:r>
      <w:r>
        <w:t xml:space="preserve"> </w:t>
      </w:r>
      <w:r>
        <w:t xml:space="preserve">Aerospace Engineer</w:t>
      </w:r>
      <w:r>
        <w:t xml:space="preserve"> </w:t>
      </w:r>
      <w:r>
        <w:t xml:space="preserve">is one of immense responsibility and complexity, particularly when situated within the unique industrial ecosystem of</w:t>
      </w:r>
      <w:r>
        <w:t xml:space="preserve"> </w:t>
      </w:r>
      <w:r>
        <w:t xml:space="preserve">Russia Moscow</w:t>
      </w:r>
      <w:r>
        <w:t xml:space="preserve">. This laboratory report has demonstrated that engineers in this region must balance high-level technical expertise with strategic problem-solving regarding supply chain logistics and technological independence. The convergence of historical engineering excellence with modern adaptive strategies defines the current era of aerospace development in the capital.</w:t>
      </w:r>
    </w:p>
    <w:p>
      <w:pPr>
        <w:pStyle w:val="BodyText"/>
      </w:pPr>
      <w:r>
        <w:t xml:space="preserve">The findings suggest that while challenges related to global isolation persist, they have also spurred innovation and resilience within the local engineering community. Future research should focus on the long-term sustainability of these domestic substitution efforts and their impact on international collaboration potential. For now, the</w:t>
      </w:r>
      <w:r>
        <w:t xml:space="preserve"> </w:t>
      </w:r>
      <w:r>
        <w:t xml:space="preserve">Aerospace Engineer</w:t>
      </w:r>
      <w:r>
        <w:t xml:space="preserve"> </w:t>
      </w:r>
      <w:r>
        <w:t xml:space="preserve">in</w:t>
      </w:r>
      <w:r>
        <w:t xml:space="preserve"> </w:t>
      </w:r>
      <w:r>
        <w:t xml:space="preserve">Russia Moscow</w:t>
      </w:r>
      <w:r>
        <w:t xml:space="preserve"> </w:t>
      </w:r>
      <w:r>
        <w:t xml:space="preserve">remains a critical actor in maintaining and advancing Russia's status as a significant player in global aerospace affairs.</w:t>
      </w:r>
    </w:p>
    <w:bookmarkEnd w:id="30"/>
    <w:bookmarkStart w:id="31" w:name="references-and-acknowledgments"/>
    <w:p>
      <w:pPr>
        <w:pStyle w:val="Heading2"/>
      </w:pPr>
      <w:r>
        <w:t xml:space="preserve">7. References and Acknowledgments</w:t>
      </w:r>
    </w:p>
    <w:p>
      <w:pPr>
        <w:numPr>
          <w:ilvl w:val="0"/>
          <w:numId w:val="1001"/>
        </w:numPr>
        <w:pStyle w:val="Compact"/>
      </w:pPr>
      <w:r>
        <w:t xml:space="preserve">Data compiled from internal technical reports of United Aircraft Corporation,</w:t>
      </w:r>
      <w:r>
        <w:t xml:space="preserve"> </w:t>
      </w:r>
      <w:r>
        <w:t xml:space="preserve">Russia Moscow</w:t>
      </w:r>
      <w:r>
        <w:t xml:space="preserve">.</w:t>
      </w:r>
    </w:p>
    <w:p>
      <w:pPr>
        <w:numPr>
          <w:ilvl w:val="0"/>
          <w:numId w:val="1001"/>
        </w:numPr>
        <w:pStyle w:val="Compact"/>
      </w:pPr>
      <w:r>
        <w:t xml:space="preserve">Journals of the Bauman Moscow State Technical University regarding Aerodynamics and Propulsion.</w:t>
      </w:r>
    </w:p>
    <w:p>
      <w:pPr>
        <w:numPr>
          <w:ilvl w:val="0"/>
          <w:numId w:val="1001"/>
        </w:numPr>
        <w:pStyle w:val="Compact"/>
      </w:pPr>
      <w:r>
        <w:t xml:space="preserve">Analysis of PD-14 engine integration protocols for civil aviation applications.</w:t>
      </w:r>
    </w:p>
    <w:p>
      <w:pPr>
        <w:pStyle w:val="FirstParagraph"/>
      </w:pPr>
      <w:r>
        <w:rPr>
          <w:iCs/>
          <w:i/>
        </w:rPr>
        <w:t xml:space="preserve">This document is classified for internal distribution and technical review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in Russia Moscow</dc:title>
  <dc:creator/>
  <dc:language>en</dc:language>
  <cp:keywords/>
  <dcterms:created xsi:type="dcterms:W3CDTF">2026-07-29T09:54:20Z</dcterms:created>
  <dcterms:modified xsi:type="dcterms:W3CDTF">2026-07-29T09:54:20Z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