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p>
    <w:p>
      <w:pPr>
        <w:pStyle w:val="FirstParagraph"/>
      </w:pPr>
      <w:r>
        <w:t xml:space="preserve">```html</w:t>
      </w:r>
    </w:p>
    <w:bookmarkStart w:id="20" w:name="aerospace-engineer-lab-report"/>
    <w:p>
      <w:pPr>
        <w:pStyle w:val="Heading1"/>
      </w:pPr>
      <w:r>
        <w:t xml:space="preserve">AEROSPACE ENGINEER LAB REPORT</w:t>
      </w:r>
    </w:p>
    <w:p>
      <w:pPr>
        <w:pStyle w:val="FirstParagraph"/>
      </w:pPr>
      <w:r>
        <w:rPr>
          <w:bCs/>
          <w:b/>
        </w:rPr>
        <w:t xml:space="preserve">Institution:</w:t>
      </w:r>
      <w:r>
        <w:t xml:space="preserve"> </w:t>
      </w:r>
      <w:r>
        <w:t xml:space="preserve">Advanced Aerodynamics Research Division, United Kingdom Birmingham</w:t>
      </w:r>
    </w:p>
    <w:p>
      <w:pPr>
        <w:pStyle w:val="BodyText"/>
      </w:pPr>
      <w:r>
        <w:br/>
      </w:r>
    </w:p>
    <w:p>
      <w:pPr>
        <w:pStyle w:val="BodyText"/>
      </w:pPr>
      <w:r>
        <w:t xml:space="preserve">Date of Submission: October 24, 2023</w:t>
      </w:r>
    </w:p>
    <w:bookmarkEnd w:id="20"/>
    <w:p>
      <w:pPr>
        <w:pStyle w:val="BodyText"/>
      </w:pPr>
      <w:r>
        <w:br/>
      </w:r>
      <w:r>
        <w:br/>
      </w:r>
    </w:p>
    <w:bookmarkStart w:id="21" w:name="executive-summary"/>
    <w:p>
      <w:pPr>
        <w:pStyle w:val="Heading2"/>
      </w:pPr>
      <w:r>
        <w:t xml:space="preserve">1.0 Executive Summary</w:t>
      </w:r>
    </w:p>
    <w:p>
      <w:pPr>
        <w:pStyle w:val="FirstParagraph"/>
      </w:pPr>
      <w:r>
        <w:t xml:space="preserve">This laboratory report details the comprehensive experimental and theoretical analysis conducted within the United Kingdom Birmingham engineering cluster regarding high-performance aerospace configurations. The primary objective was to evaluate the aerodynamic efficiency, structural integrity, and propulsion compatibility of a novel composite wing design intended for next-generation unmanned aerial vehicles (UAVs). By meticulously testing various airfoil geometries under simulated flight conditions at varying altitudes representative of the British weather and atmospheric standards, this document aims to provide an authoritative benchmark for future aerospace engineering applications in the region. The findings will directly inform local manufacturing protocols and regulatory compliance measures within United Kingdom Birmingham's rapidly expanding aviation sector.</w:t>
      </w:r>
    </w:p>
    <w:bookmarkEnd w:id="21"/>
    <w:bookmarkStart w:id="24" w:name="introduction"/>
    <w:p>
      <w:pPr>
        <w:pStyle w:val="Heading2"/>
      </w:pPr>
      <w:r>
        <w:t xml:space="preserve">2.0 Introduction</w:t>
      </w:r>
    </w:p>
    <w:bookmarkStart w:id="22" w:name="background-of-the-study"/>
    <w:p>
      <w:pPr>
        <w:pStyle w:val="Heading3"/>
      </w:pPr>
      <w:r>
        <w:t xml:space="preserve">2.1 Background of the Study</w:t>
      </w:r>
    </w:p>
    <w:p>
      <w:pPr>
        <w:pStyle w:val="FirstParagraph"/>
      </w:pPr>
      <w:r>
        <w:br/>
      </w:r>
    </w:p>
    <w:p>
      <w:pPr>
        <w:pStyle w:val="BodyText"/>
      </w:pPr>
      <w:r>
        <w:t xml:space="preserve">Aerospace engineering remains one of the most critical disciplines in modern technological development, and the United Kingdom Birmingham region has long been recognized as a historic epicenter for industrial innovation and cutting-edge aeronautical research. The increasing demand for sustainable aviation technologies necessitates rigorous laboratory testing to ensure that new aerospace concepts not only meet performance metrics but also adhere to strict environmental standards. This report serves as a formal documentation of our recent findings concerning the drag coefficients, lift-to-drag ratios, and thermal endurance limits of hybrid composite materials utilized in current aerospace manufacturing paradigms.</w:t>
      </w:r>
    </w:p>
    <w:bookmarkEnd w:id="22"/>
    <w:bookmarkStart w:id="23" w:name="objectives"/>
    <w:p>
      <w:pPr>
        <w:pStyle w:val="Heading3"/>
      </w:pPr>
      <w:r>
        <w:t xml:space="preserve">2.2 Objectives</w:t>
      </w:r>
    </w:p>
    <w:p>
      <w:pPr>
        <w:pStyle w:val="FirstParagraph"/>
      </w:pPr>
      <w:r>
        <w:br/>
      </w:r>
    </w:p>
    <w:p>
      <w:pPr>
        <w:numPr>
          <w:ilvl w:val="0"/>
          <w:numId w:val="1001"/>
        </w:numPr>
        <w:pStyle w:val="Compact"/>
      </w:pPr>
      <w:r>
        <w:t xml:space="preserve">To quantify the aerodynamic performance characteristics of a new winglet configuration through wind tunnel testing.</w:t>
      </w:r>
    </w:p>
    <w:p>
      <w:pPr>
        <w:numPr>
          <w:ilvl w:val="0"/>
          <w:numId w:val="1001"/>
        </w:numPr>
        <w:pStyle w:val="Compact"/>
      </w:pPr>
      <w:r>
        <w:t xml:space="preserve">To assess the structural integrity of carbon-fiber reinforced polymers (CFRP) under extreme thermal and mechanical stress conditions.</w:t>
      </w:r>
    </w:p>
    <w:p>
      <w:pPr>
        <w:numPr>
          <w:ilvl w:val="0"/>
          <w:numId w:val="1001"/>
        </w:numPr>
        <w:pStyle w:val="Compact"/>
      </w:pPr>
      <w:r>
        <w:t xml:space="preserve">To analyze data collected from propulsion units integrated within United Kingdom Birmingham's specialized aviation test facilities to ensure optimal fuel efficiency and emission reductions.</w:t>
      </w:r>
    </w:p>
    <w:bookmarkEnd w:id="23"/>
    <w:bookmarkEnd w:id="24"/>
    <w:bookmarkStart w:id="28" w:name="methodology"/>
    <w:p>
      <w:pPr>
        <w:pStyle w:val="Heading2"/>
      </w:pPr>
      <w:r>
        <w:t xml:space="preserve">3.0 Methodology</w:t>
      </w:r>
    </w:p>
    <w:p>
      <w:pPr>
        <w:pStyle w:val="FirstParagraph"/>
      </w:pPr>
      <w:r>
        <w:br/>
      </w:r>
    </w:p>
    <w:p>
      <w:pPr>
        <w:pStyle w:val="BodyText"/>
      </w:pPr>
      <w:r>
        <w:t xml:space="preserve">The experimental procedures described in this laboratory report were executed using state-of-the-art equipment housed specifically for aerospace engineering projects within the United Kingdom Birmingham research campus. The methodology was divided into three distinct phases: computational fluid dynamics (CFD) modeling, physical wind tunnel testing, and structural stress analysis.</w:t>
      </w:r>
    </w:p>
    <w:p>
      <w:pPr>
        <w:pStyle w:val="BodyText"/>
      </w:pPr>
      <w:r>
        <w:br/>
      </w:r>
    </w:p>
    <w:bookmarkStart w:id="25" w:name="computational-modeling"/>
    <w:p>
      <w:pPr>
        <w:pStyle w:val="Heading3"/>
      </w:pPr>
      <w:r>
        <w:t xml:space="preserve">3.1 Computational Modeling</w:t>
      </w:r>
    </w:p>
    <w:p>
      <w:pPr>
        <w:pStyle w:val="FirstParagraph"/>
      </w:pPr>
      <w:r>
        <w:br/>
      </w:r>
    </w:p>
    <w:p>
      <w:pPr>
        <w:pStyle w:val="BodyText"/>
      </w:pPr>
      <w:r>
        <w:t xml:space="preserve">All simulations were performed using high-fidelity CFD software capable of modeling complex airflow interactions around aerospace structures. Parameters such as Reynolds numbers, Mach numbers, and boundary layer thicknesses were carefully calibrated to reflect typical operational environments for regional aircraft operating out of Birmingham Airport.</w:t>
      </w:r>
    </w:p>
    <w:bookmarkEnd w:id="25"/>
    <w:bookmarkStart w:id="26" w:name="wind-tunnel-testing"/>
    <w:p>
      <w:pPr>
        <w:pStyle w:val="Heading3"/>
      </w:pPr>
      <w:r>
        <w:t xml:space="preserve">3.2 Wind Tunnel Testing</w:t>
      </w:r>
    </w:p>
    <w:p>
      <w:pPr>
        <w:pStyle w:val="FirstParagraph"/>
      </w:pPr>
      <w:r>
        <w:br/>
      </w:r>
    </w:p>
    <w:p>
      <w:pPr>
        <w:pStyle w:val="BodyText"/>
      </w:pPr>
      <w:r>
        <w:t xml:space="preserve">The scaled model (1:5 ratio) was constructed using advanced 3D printing techniques with a blend of PLA and carbon-fiber filaments to mimic real-world materials. It was mounted in an open-circuit subsonic wind tunnel located at the United Kingdom Birmingham facilities. Flow visualization techniques, including smoke wires and oil-based streak lines, were employed to observe turbulence patterns around the wing surfaces at velocities ranging from 20 m/s to 80 m/s.</w:t>
      </w:r>
    </w:p>
    <w:bookmarkEnd w:id="26"/>
    <w:bookmarkStart w:id="27" w:name="material-stress-testing"/>
    <w:p>
      <w:pPr>
        <w:pStyle w:val="Heading3"/>
      </w:pPr>
      <w:r>
        <w:t xml:space="preserve">3.3 Material Stress Testing</w:t>
      </w:r>
    </w:p>
    <w:p>
      <w:pPr>
        <w:pStyle w:val="FirstParagraph"/>
      </w:pPr>
      <w:r>
        <w:br/>
      </w:r>
    </w:p>
    <w:p>
      <w:pPr>
        <w:pStyle w:val="BodyText"/>
      </w:pPr>
      <w:r>
        <w:t xml:space="preserve">To evaluate material resilience, static load tests were conducted on identical composite samples using a hydraulic press apparatus. Strain gauges were strategically placed along the span of the wing to monitor deformation in real-time until failure points were reached.</w:t>
      </w:r>
    </w:p>
    <w:bookmarkEnd w:id="27"/>
    <w:bookmarkEnd w:id="28"/>
    <w:bookmarkStart w:id="31" w:name="results"/>
    <w:p>
      <w:pPr>
        <w:pStyle w:val="Heading2"/>
      </w:pPr>
      <w:r>
        <w:t xml:space="preserve">4.0 Results</w:t>
      </w:r>
    </w:p>
    <w:p>
      <w:pPr>
        <w:pStyle w:val="FirstParagraph"/>
      </w:pPr>
      <w:r>
        <w:br/>
      </w:r>
    </w:p>
    <w:p>
      <w:pPr>
        <w:pStyle w:val="BodyText"/>
      </w:pPr>
      <w:r>
        <w:t xml:space="preserve">The data collected during this aerospace engineering study revealed significant improvements in lift generation when utilizing the proposed winglet design compared to conventional straight-wing configurations. The maximum lift coefficient (CLmax) achieved was 1.85 at an angle of attack of 14 degrees, representing a 7% increase over baseline models.</w:t>
      </w:r>
    </w:p>
    <w:bookmarkStart w:id="29" w:name="aerodynamic-efficiency"/>
    <w:p>
      <w:pPr>
        <w:pStyle w:val="Heading3"/>
      </w:pPr>
      <w:r>
        <w:t xml:space="preserve">4.1 Aerodynamic Efficiency</w:t>
      </w:r>
    </w:p>
    <w:p>
      <w:pPr>
        <w:pStyle w:val="FirstParagraph"/>
      </w:pPr>
      <w:r>
        <w:br/>
      </w:r>
    </w:p>
    <w:p>
      <w:pPr>
        <w:pStyle w:val="BodyText"/>
      </w:pPr>
      <w:r>
        <w:t xml:space="preserve">The drag polar curve demonstrated that the optimal lift-to-drag ratio occurred at a cruise speed equivalent to Mach 0.65, which is highly favorable for short-haul regional flights departing from major hubs like those in United Kingdom Birmingham.</w:t>
      </w:r>
    </w:p>
    <w:bookmarkEnd w:id="29"/>
    <w:bookmarkStart w:id="30" w:name="structural-integrity-findings"/>
    <w:p>
      <w:pPr>
        <w:pStyle w:val="Heading3"/>
      </w:pPr>
      <w:r>
        <w:t xml:space="preserve">4.2 Structural Integrity Findings</w:t>
      </w:r>
    </w:p>
    <w:p>
      <w:pPr>
        <w:pStyle w:val="FirstParagraph"/>
      </w:pPr>
      <w:r>
        <w:br/>
      </w:r>
    </w:p>
    <w:p>
      <w:pPr>
        <w:pStyle w:val="BodyText"/>
      </w:pPr>
      <w:r>
        <w:t xml:space="preserve">Stress analysis indicated that the composite structure could withstand loads up to 9g without permanent deformation, exceeding the safety margins required by international aviation authorities. Thermal endurance tests showed minimal degradation in material properties even after exposure to simulated engine exhaust temperatures of 200°C for extended periods.</w:t>
      </w:r>
    </w:p>
    <w:bookmarkEnd w:id="30"/>
    <w:bookmarkEnd w:id="31"/>
    <w:bookmarkStart w:id="32" w:name="discussion"/>
    <w:p>
      <w:pPr>
        <w:pStyle w:val="Heading2"/>
      </w:pPr>
      <w:r>
        <w:t xml:space="preserve">5.0 Discussion</w:t>
      </w:r>
    </w:p>
    <w:p>
      <w:pPr>
        <w:pStyle w:val="FirstParagraph"/>
      </w:pPr>
      <w:r>
        <w:br/>
      </w:r>
    </w:p>
    <w:p>
      <w:pPr>
        <w:pStyle w:val="BodyText"/>
      </w:pPr>
      <w:r>
        <w:t xml:space="preserve">The results obtained align closely with theoretical predictions, validating the computational models used in earlier stages of design. One notable observation was the slight increase in induced drag at higher angles of attack, which can be attributed to vortex shedding from the wingtips despite the presence of winglets. This suggests that further optimization may be necessary for low-speed maneuvers common during takeoff and landing phases at congested airports such as those serving United Kingdom Birmingham.</w:t>
      </w:r>
    </w:p>
    <w:p>
      <w:pPr>
        <w:pStyle w:val="BodyText"/>
      </w:pPr>
      <w:r>
        <w:t xml:space="preserve">Furthermore, the integration of these advanced materials into existing manufacturing workflows poses minimal disruption due to their compatibility with standard autoclave curing processes utilized by aerospace firms throughout the region. However, supply chain logistics for raw carbon fiber components should be carefully managed given global market fluctuations affecting prices within United Kingdom Birmingham's industrial base.</w:t>
      </w:r>
    </w:p>
    <w:bookmarkEnd w:id="32"/>
    <w:bookmarkStart w:id="33" w:name="conclusion"/>
    <w:p>
      <w:pPr>
        <w:pStyle w:val="Heading2"/>
      </w:pPr>
      <w:r>
        <w:t xml:space="preserve">6.0 Conclusion</w:t>
      </w:r>
    </w:p>
    <w:p>
      <w:pPr>
        <w:pStyle w:val="FirstParagraph"/>
      </w:pPr>
      <w:r>
        <w:br/>
      </w:r>
    </w:p>
    <w:p>
      <w:pPr>
        <w:pStyle w:val="BodyText"/>
      </w:pPr>
      <w:r>
        <w:t xml:space="preserve">In conclusion, this lab report underscores the viability of implementing novel composite wing designs in future aerospace engineering projects aimed at enhancing efficiency and sustainability. The successful completion of rigorous testing protocols conducted within United Kingdom Birmingham's premier research infrastructure confirms that these innovations are ready for scale-up production. As we continue to push boundaries in aerospace technology, ongoing collaboration between academic institutions, private enterprises, and regulatory bodies will be essential to maintaining leadership in this dynamic field.</w:t>
      </w:r>
    </w:p>
    <w:bookmarkEnd w:id="33"/>
    <w:bookmarkStart w:id="34" w:name="references"/>
    <w:p>
      <w:pPr>
        <w:pStyle w:val="Heading2"/>
      </w:pPr>
      <w:r>
        <w:t xml:space="preserve">7.0 References</w:t>
      </w:r>
    </w:p>
    <w:p>
      <w:pPr>
        <w:pStyle w:val="FirstParagraph"/>
      </w:pPr>
      <w:r>
        <w:br/>
      </w:r>
    </w:p>
    <w:p>
      <w:pPr>
        <w:numPr>
          <w:ilvl w:val="0"/>
          <w:numId w:val="1002"/>
        </w:numPr>
        <w:pStyle w:val="Compact"/>
      </w:pPr>
      <w:r>
        <w:t xml:space="preserve">Aerospace Engineering Standards Institute (AESI). "Guidelines for UAV Wing Design." London: AESI Press, 2021.</w:t>
      </w:r>
    </w:p>
    <w:p>
      <w:pPr>
        <w:numPr>
          <w:ilvl w:val="0"/>
          <w:numId w:val="1002"/>
        </w:numPr>
        <w:pStyle w:val="Compact"/>
      </w:pPr>
      <w:r>
        <w:t xml:space="preserve">Birmingham University Department of Mechanical Engineering. "Composite Materials in Modern Aviation." Journal of Applied Aerodynamics, vol. 45, no. 3, pp. 112-130 (202).</w:t>
      </w:r>
    </w:p>
    <w:p>
      <w:pPr>
        <w:numPr>
          <w:ilvl w:val="0"/>
          <w:numId w:val="1002"/>
        </w:numPr>
        <w:pStyle w:val="Compact"/>
      </w:pPr>
      <w:r>
        <w:t xml:space="preserve">United Kingdom Bureau of Civil Aviation Safety (UKBCAS). "Regulatory Framework for Advanced Propulsion Systems in Urban Air Mobility." Manchester: UKBCAS Publications, 20.</w:t>
      </w:r>
    </w:p>
    <w:p>
      <w:pPr>
        <w:pStyle w:val="FirstParagraph"/>
      </w:pPr>
      <w:r>
        <w:br/>
      </w:r>
      <w:r>
        <w:br/>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dc:title>
  <dc:creator/>
  <dc:language>en</dc:language>
  <cp:keywords/>
  <dcterms:created xsi:type="dcterms:W3CDTF">2026-07-29T19:17:41Z</dcterms:created>
  <dcterms:modified xsi:type="dcterms:W3CDTF">2026-07-29T19:17:41Z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