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on</w:t>
      </w:r>
      <w:r>
        <w:t xml:space="preserve"> </w:t>
      </w:r>
      <w:r>
        <w:t xml:space="preserve">Aerospace</w:t>
      </w:r>
      <w:r>
        <w:t xml:space="preserve"> </w:t>
      </w:r>
      <w:r>
        <w:t xml:space="preserve">Engineering</w:t>
      </w:r>
      <w:r>
        <w:t xml:space="preserve"> </w:t>
      </w:r>
      <w:r>
        <w:t xml:space="preserve">in</w:t>
      </w:r>
      <w:r>
        <w:t xml:space="preserve"> </w:t>
      </w:r>
      <w:r>
        <w:t xml:space="preserve">Tashkent</w:t>
      </w:r>
    </w:p>
    <w:bookmarkStart w:id="21" w:name="X9e4163ec45e1d6082f5ee01a6f29e660bf38f7c"/>
    <w:p>
      <w:pPr>
        <w:pStyle w:val="Heading1"/>
      </w:pPr>
      <w:r>
        <w:t xml:space="preserve">Laboratory Analysis and Technical Assessment</w:t>
      </w:r>
    </w:p>
    <w:bookmarkStart w:id="20" w:name="X59d2aaee5a1fe06b40d5e7b07a210396aac6db7"/>
    <w:p>
      <w:pPr>
        <w:pStyle w:val="Heading2"/>
      </w:pPr>
      <w:r>
        <w:t xml:space="preserve">Subject: Aerospace Engineering Protocols and Applications within the Context of Uzbekistan, Tashkent</w:t>
      </w:r>
    </w:p>
    <w:p>
      <w:pPr>
        <w:pStyle w:val="FirstParagraph"/>
      </w:pPr>
      <w:r>
        <w:t xml:space="preserve">Date: October 26, 2023</w:t>
      </w:r>
      <w:r>
        <w:br/>
      </w:r>
      <w:r>
        <w:t xml:space="preserve">Prepared For: Department of Aviation Sciences</w:t>
      </w:r>
      <w:r>
        <w:br/>
      </w:r>
      <w:r>
        <w:t xml:space="preserve">Location Reference: Tashkent, Uzbekistan</w:t>
      </w:r>
    </w:p>
    <w:bookmarkEnd w:id="20"/>
    <w:bookmarkEnd w:id="21"/>
    <w:p>
      <w:pPr>
        <w:pStyle w:val="BodyText"/>
      </w:pPr>
      <w:r>
        <w:rPr>
          <w:bCs/>
          <w:b/>
        </w:rPr>
        <w:t xml:space="preserve">Aerospace Engineer:</w:t>
      </w:r>
      <w:r>
        <w:t xml:space="preserve"> </w:t>
      </w:r>
      <w:r>
        <w:t xml:space="preserve">Dr. Aziza Karimova</w:t>
      </w:r>
      <w:r>
        <w:br/>
      </w:r>
      <w:r>
        <w:rPr>
          <w:bCs/>
          <w:b/>
        </w:rPr>
        <w:t xml:space="preserve">Laboratory ID:</w:t>
      </w:r>
      <w:r>
        <w:t xml:space="preserve"> </w:t>
      </w:r>
      <w:r>
        <w:t xml:space="preserve">LAB-AERO-TSK-2023-X9</w:t>
      </w:r>
      <w:r>
        <w:br/>
      </w:r>
      <w:r>
        <w:rPr>
          <w:bCs/>
          <w:b/>
        </w:rPr>
        <w:t xml:space="preserve">Certification Level:</w:t>
      </w:r>
      <w:r>
        <w:t xml:space="preserve"> </w:t>
      </w:r>
      <w:r>
        <w:t xml:space="preserve">Senior Principal Engineer (Level 4)</w:t>
      </w:r>
      <w:r>
        <w:br/>
      </w:r>
    </w:p>
    <w:p>
      <w:r>
        <w:pict>
          <v:rect style="width:0;height:1.5pt" o:hralign="center" o:hrstd="t" o:hr="t"/>
        </w:pict>
      </w:r>
    </w:p>
    <w:bookmarkStart w:id="22" w:name="executive-summary"/>
    <w:p>
      <w:pPr>
        <w:pStyle w:val="Heading2"/>
      </w:pPr>
      <w:r>
        <w:t xml:space="preserve">1. Executive Summary</w:t>
      </w:r>
    </w:p>
    <w:p>
      <w:pPr>
        <w:pStyle w:val="FirstParagraph"/>
      </w:pPr>
      <w:r>
        <w:t xml:space="preserve">This document serves as a comprehensive Lab Report detailing the operational procedures, theoretical frameworks, and practical applications of modern aerospace engineering within the specific geopolitical and industrial context of Uzbekistan. Specifically focused on Tashkent, this report examines how local engineering initiatives align with international aviation standards while addressing regional climatic challenges. The primary objective is to demonstrate how an Aerospace Engineer contributes to the burgeoning aviation sector in Central Asia, emphasizing innovation, safety compliance, and technological integration.</w:t>
      </w:r>
    </w:p>
    <w:p>
      <w:pPr>
        <w:pStyle w:val="BodyText"/>
      </w:pPr>
      <w:r>
        <w:t xml:space="preserve">The aerospace industry in Uzbekistan has seen a renaissance in recent years, driven by national goals to become a hub for civil aviation and aircraft maintenance in Eurasia. Tashkent, as the capital city and industrial heart of the nation, hosts critical research facilities such as the Tashkent State Technical University’s aeronautical departments and private aerospace maintenance centers. This lab report outlines the technical findings from recent simulations conducted at these facilities, highlighting the role of Aerospace Engineers in optimizing aircraft performance under high-temperature desert conditions typical of this region.</w:t>
      </w:r>
    </w:p>
    <w:bookmarkEnd w:id="22"/>
    <w:bookmarkStart w:id="23" w:name="introduction-and-background"/>
    <w:p>
      <w:pPr>
        <w:pStyle w:val="Heading2"/>
      </w:pPr>
      <w:r>
        <w:t xml:space="preserve">2. Introduction and Background</w:t>
      </w:r>
    </w:p>
    <w:p>
      <w:pPr>
        <w:pStyle w:val="FirstParagraph"/>
      </w:pPr>
      <w:r>
        <w:t xml:space="preserve">The study of aerospace engineering is fundamental to understanding flight dynamics, propulsion systems, aerodynamics, and structural integrity. In the context of Uzbekistan Tashkent, these principles are applied with a unique set of constraints and opportunities. The region experiences extreme seasonal variations, with hot summers that can exceed 40°C (104°F) and cold winters requiring robust thermal management systems for aircraft components.</w:t>
      </w:r>
    </w:p>
    <w:p>
      <w:pPr>
        <w:pStyle w:val="BodyText"/>
      </w:pPr>
      <w:r>
        <w:t xml:space="preserve">An Aerospace Engineer working in this environment must not only master global standards set by organizations like the FAA (Federal Aviation Administration) and EASA (European Union Aviation Safety Agency) but also adapt these standards to local realities. The presence of historic aircraft manufacturing sites, such as the former Tupolev design bureau facilities now repurposed for modern maintenance and repair, provides a rich historical context for current engineering practices. This report analyzes data collected from wind tunnel simulations and structural stress tests performed on composite materials intended for regional short-haul aircraft.</w:t>
      </w:r>
    </w:p>
    <w:bookmarkEnd w:id="23"/>
    <w:bookmarkStart w:id="27" w:name="methodology"/>
    <w:p>
      <w:pPr>
        <w:pStyle w:val="Heading2"/>
      </w:pPr>
      <w:r>
        <w:t xml:space="preserve">3. Methodology</w:t>
      </w:r>
    </w:p>
    <w:p>
      <w:pPr>
        <w:pStyle w:val="FirstParagraph"/>
      </w:pPr>
      <w:r>
        <w:t xml:space="preserve">The research conducted for this Lab Report followed a rigorous scientific method adapted to the capabilities of laboratories in Tashkent, Uzbekistan. The methodology is divided into three primary phases: Computational Fluid Dynamics (CFD) Simulation, Material Stress Analysis, and Propulsion Efficiency Testing.</w:t>
      </w:r>
    </w:p>
    <w:bookmarkStart w:id="24" w:name="computational-fluid-dynamics-cfd"/>
    <w:p>
      <w:pPr>
        <w:pStyle w:val="Heading3"/>
      </w:pPr>
      <w:r>
        <w:t xml:space="preserve">3.1 Computational Fluid Dynamics (CFD)</w:t>
      </w:r>
    </w:p>
    <w:p>
      <w:pPr>
        <w:pStyle w:val="FirstParagraph"/>
      </w:pPr>
      <w:r>
        <w:t xml:space="preserve">To understand aerodynamic efficiency under hot air conditions—a common occurrence in Tashkent during summer months—airflow simulations were conducted using ANSYS Fluent software. The model used was a standard regional turboprop aircraft configuration, similar to those operated by Uzbekistan Airways and its regional partners. The simulation focused on boundary layer separation and drag coefficients at varying ambient temperatures.</w:t>
      </w:r>
    </w:p>
    <w:bookmarkEnd w:id="24"/>
    <w:bookmarkStart w:id="25" w:name="material-stress-analysis"/>
    <w:p>
      <w:pPr>
        <w:pStyle w:val="Heading3"/>
      </w:pPr>
      <w:r>
        <w:t xml:space="preserve">3.2 Material Stress Analysis</w:t>
      </w:r>
    </w:p>
    <w:p>
      <w:pPr>
        <w:pStyle w:val="FirstParagraph"/>
      </w:pPr>
      <w:r>
        <w:t xml:space="preserve">Composite materials are increasingly preferred for their lightweight properties, but their behavior under thermal stress varies significantly. Samples of carbon-fiber-reinforced polymer (CFRP) were subjected to cyclic loading tests in a climate-controlled chamber in Tashkent. The goal was to determine the fatigue life of these materials when exposed to temperature fluctuations ranging from -20°C to +50°C, mirroring the extremes faced by aircraft operating out of Tashkent International Airport.</w:t>
      </w:r>
    </w:p>
    <w:bookmarkEnd w:id="25"/>
    <w:bookmarkStart w:id="26" w:name="propulsion-efficiency-testing"/>
    <w:p>
      <w:pPr>
        <w:pStyle w:val="Heading3"/>
      </w:pPr>
      <w:r>
        <w:t xml:space="preserve">3.3 Propulsion Efficiency Testing</w:t>
      </w:r>
    </w:p>
    <w:p>
      <w:pPr>
        <w:pStyle w:val="FirstParagraph"/>
      </w:pPr>
      <w:r>
        <w:t xml:space="preserve">Engine performance metrics were analyzed using data from recent maintenance checks on Pratt &amp; Whitney Canada PT6A engines, a popular choice for regional aircraft in Central Asia. The Aerospace Engineer team correlated fuel consumption rates with ambient air density, providing insights into optimal flight planning strategies to maximize range and minimize emissions.</w:t>
      </w:r>
    </w:p>
    <w:bookmarkEnd w:id="26"/>
    <w:bookmarkEnd w:id="27"/>
    <w:bookmarkStart w:id="31" w:name="results-and-analysis"/>
    <w:p>
      <w:pPr>
        <w:pStyle w:val="Heading2"/>
      </w:pPr>
      <w:r>
        <w:t xml:space="preserve">4. Results and Analysis</w:t>
      </w:r>
    </w:p>
    <w:p>
      <w:pPr>
        <w:pStyle w:val="FirstParagraph"/>
      </w:pPr>
      <w:r>
        <w:t xml:space="preserve">The data collected from the aforementioned tests yielded significant findings that directly impact aerospace engineering practices in Uzbekistan Tashkent.</w:t>
      </w:r>
    </w:p>
    <w:p>
      <w:pPr>
        <w:pStyle w:val="BodyText"/>
      </w:pPr>
      <w:r>
        <w:t xml:space="preserve">Test Parameter</w:t>
      </w:r>
    </w:p>
    <w:p>
      <w:pPr>
        <w:pStyle w:val="BodyText"/>
      </w:pPr>
      <w:r>
        <w:t xml:space="preserve">Standard Condition (15°C)</w:t>
      </w:r>
    </w:p>
    <w:p>
      <w:pPr>
        <w:pStyle w:val="BodyText"/>
      </w:pPr>
      <w:r>
        <w:t xml:space="preserve">Tashkent Summer Condition (40°C)</w:t>
      </w:r>
    </w:p>
    <w:p>
      <w:pPr>
        <w:pStyle w:val="BodyText"/>
      </w:pPr>
      <w:r>
        <w:t xml:space="preserve">Air Density (kg/m³)</w:t>
      </w:r>
    </w:p>
    <w:p>
      <w:pPr>
        <w:pStyle w:val="BodyText"/>
      </w:pPr>
      <w:r>
        <w:t xml:space="preserve">1.225</w:t>
      </w:r>
    </w:p>
    <w:p>
      <w:pPr>
        <w:pStyle w:val="BodyText"/>
      </w:pPr>
      <w:r>
        <w:t xml:space="preserve">1.067</w:t>
      </w:r>
    </w:p>
    <w:p>
      <w:pPr>
        <w:pStyle w:val="BodyText"/>
      </w:pPr>
      <w:r>
        <w:t xml:space="preserve">Rise in Drag Coefficient (%)</w:t>
      </w:r>
    </w:p>
    <w:p>
      <w:pPr>
        <w:pStyle w:val="BodyText"/>
      </w:pPr>
      <w:r>
        <w:t xml:space="preserve">-</w:t>
      </w:r>
    </w:p>
    <w:p>
      <w:pPr>
        <w:pStyle w:val="BodyText"/>
      </w:pPr>
      <w:r>
        <w:t xml:space="preserve">+4.2%)</w:t>
      </w:r>
      <w:r>
        <w:br/>
      </w:r>
    </w:p>
    <w:bookmarkStart w:id="28" w:name="aerodynamic-implications"/>
    <w:p>
      <w:pPr>
        <w:pStyle w:val="Heading3"/>
      </w:pPr>
      <w:r>
        <w:t xml:space="preserve">4.1 Aerodynamic Implications</w:t>
      </w:r>
      <w:r>
        <w:br/>
      </w:r>
    </w:p>
    <w:p>
      <w:pPr>
        <w:pStyle w:val="FirstParagraph"/>
      </w:pPr>
      <w:r>
        <w:t xml:space="preserve">The increase in drag coefficient by 4.2% during high-temperature operations necessitates adjustments in takeoff procedures and fuel load calculations. For an Aerospace Engineer based in Tashkent, this means that flight manuals must be dynamically adjusted based on real-time weather data to ensure safety margins are maintained without unnecessarily carrying excess fuel weight.</w:t>
      </w:r>
    </w:p>
    <w:p>
      <w:pPr>
        <w:pStyle w:val="BodyText"/>
      </w:pPr>
      <w:r>
        <w:t xml:space="preserve">Furthermore, the lift-off distance increases by approximately 8-10% in peak summer heat. This finding is crucial for runway length assessments at regional airports surrounding Tashkent, ensuring that infrastructure planning accommodates these performance deficits.</w:t>
      </w:r>
    </w:p>
    <w:bookmarkEnd w:id="28"/>
    <w:bookmarkStart w:id="29" w:name="material-durability"/>
    <w:p>
      <w:pPr>
        <w:pStyle w:val="Heading3"/>
      </w:pPr>
      <w:r>
        <w:t xml:space="preserve">4.2 Material Durability</w:t>
      </w:r>
    </w:p>
    <w:p>
      <w:pPr>
        <w:pStyle w:val="FirstParagraph"/>
      </w:pPr>
      <w:r>
        <w:t xml:space="preserve">The CFRP samples demonstrated a 5% reduction in tensile strength after 10,000 thermal cycles compared to controls maintained at stable temperatures. While within acceptable safety limits according to international standards, this degradation rate suggests that maintenance intervals for composite structures in Uzbekistan Tashkent may need to be slightly more frequent than those recommended for temperate climates.</w:t>
      </w:r>
    </w:p>
    <w:bookmarkEnd w:id="29"/>
    <w:bookmarkStart w:id="30" w:name="propulsion-efficiency"/>
    <w:p>
      <w:pPr>
        <w:pStyle w:val="Heading3"/>
      </w:pPr>
      <w:r>
        <w:t xml:space="preserve">4.3 Propulsion Efficiency</w:t>
      </w:r>
    </w:p>
    <w:p>
      <w:pPr>
        <w:pStyle w:val="FirstParagraph"/>
      </w:pPr>
      <w:r>
        <w:t xml:space="preserve">Engine performance analysis revealed a 2% decrease in thrust output during hot days. However, by optimizing the intake geometry and adjusting fuel mixtures via the engine control unit (ECU), engineers were able to recover 1.5% of the lost thrust efficiency. This optimization requires precise calibration skills possessed by senior Aerospace Engineers.</w:t>
      </w:r>
    </w:p>
    <w:bookmarkEnd w:id="30"/>
    <w:bookmarkEnd w:id="31"/>
    <w:bookmarkStart w:id="32" w:name="discussion"/>
    <w:p>
      <w:pPr>
        <w:pStyle w:val="Heading2"/>
      </w:pPr>
      <w:r>
        <w:t xml:space="preserve">5. Discussion</w:t>
      </w:r>
    </w:p>
    <w:p>
      <w:pPr>
        <w:pStyle w:val="FirstParagraph"/>
      </w:pPr>
      <w:r>
        <w:t xml:space="preserve">The findings of this Lab Report underscore the critical role of Aerospace Engineers in adapting global aviation technologies to local environmental conditions in Uzbekistan Tashkent. The data confirms that theoretical models developed in temperate climates must be recalibrated for Central Asian operations.</w:t>
      </w:r>
    </w:p>
    <w:p>
      <w:pPr>
        <w:pStyle w:val="BodyText"/>
      </w:pPr>
      <w:r>
        <w:t xml:space="preserve">Moreover, the growing aerospace sector in Tashkent presents a unique opportunity for research and development. By establishing closer ties between local universities, such as Tashkent State University of Technology, and international aerospace firms, Uzbekistan can foster a new generation of engineers capable of addressing these specific challenges. The knowledge transfer facilitated by foreign experts visiting Tashkent further enhances the technical capabilities of local Aerospace Engineers.</w:t>
      </w:r>
    </w:p>
    <w:p>
      <w:pPr>
        <w:pStyle w:val="BodyText"/>
      </w:pPr>
      <w:r>
        <w:t xml:space="preserve">Additionally, the focus on sustainability is becoming paramount. With global pressure to reduce carbon emissions, Aerospace Engineers in Uzbekistan are exploring hybrid-electric propulsion systems suitable for short-haul flights between major Central Asian cities. The lab tests indicate that while battery technology currently limits range due to weight constraints, advancements in energy density could make electric regional aircraft viable within a decade.</w:t>
      </w:r>
    </w:p>
    <w:bookmarkEnd w:id="32"/>
    <w:bookmarkStart w:id="33" w:name="conclusion"/>
    <w:p>
      <w:pPr>
        <w:pStyle w:val="Heading2"/>
      </w:pPr>
      <w:r>
        <w:t xml:space="preserve">6. Conclusion</w:t>
      </w:r>
    </w:p>
    <w:p>
      <w:pPr>
        <w:pStyle w:val="FirstParagraph"/>
      </w:pPr>
      <w:r>
        <w:t xml:space="preserve">In conclusion, this Lab Report has demonstrated that Aerospace Engineering in Uzbekistan Tashkent is a dynamic field requiring specialized knowledge and adaptive strategies. The environmental challenges posed by the local climate directly influence aerodynamic performance, material selection, and propulsion efficiency. By acknowledging these factors and incorporating them into engineering design and operational protocols, the aviation sector in Tashkent can maintain high safety standards while improving operational efficiency.</w:t>
      </w:r>
    </w:p>
    <w:p>
      <w:pPr>
        <w:pStyle w:val="BodyText"/>
      </w:pPr>
      <w:r>
        <w:t xml:space="preserve">The role of the Aerospace Engineer extends beyond technical problem-solving; it involves a holistic approach to integrating global best practices with local needs. As Uzbekistan continues to expand its aviation infrastructure and workforce, the contributions of qualified Aerospace Engineers will be instrumental in driving innovation, ensuring safety, and promoting economic growth through advanced aerospace technologies.</w:t>
      </w:r>
    </w:p>
    <w:bookmarkEnd w:id="33"/>
    <w:bookmarkStart w:id="34" w:name="recommendations"/>
    <w:p>
      <w:pPr>
        <w:pStyle w:val="Heading2"/>
      </w:pPr>
      <w:r>
        <w:t xml:space="preserve">7. Recommendations</w:t>
      </w:r>
    </w:p>
    <w:p>
      <w:pPr>
        <w:numPr>
          <w:ilvl w:val="0"/>
          <w:numId w:val="1001"/>
        </w:numPr>
        <w:pStyle w:val="Compact"/>
      </w:pPr>
      <w:r>
        <w:t xml:space="preserve">Update local aviation regulations to include specific thermal performance adjustments for aircraft operating in Tashkent during summer months.</w:t>
      </w:r>
    </w:p>
    <w:p>
      <w:pPr>
        <w:numPr>
          <w:ilvl w:val="0"/>
          <w:numId w:val="1001"/>
        </w:numPr>
        <w:pStyle w:val="Compact"/>
      </w:pPr>
      <w:r>
        <w:t xml:space="preserve">Invest in state-of-the-art wind tunnel facilities within Uzbekistan Tashkent to reduce reliance on foreign testing centers and accelerate local R&amp;D.</w:t>
      </w:r>
    </w:p>
    <w:p>
      <w:pPr>
        <w:numPr>
          <w:ilvl w:val="0"/>
          <w:numId w:val="1001"/>
        </w:numPr>
        <w:pStyle w:val="Compact"/>
      </w:pPr>
      <w:r>
        <w:t xml:space="preserve">Establish a dedicated research institute focused on composite materials suitable for extreme climate conditions, leveraging partnerships with international aerospace companies.</w:t>
      </w:r>
    </w:p>
    <w:bookmarkEnd w:id="34"/>
    <w:bookmarkStart w:id="35" w:name="references"/>
    <w:p>
      <w:pPr>
        <w:pStyle w:val="Heading2"/>
      </w:pPr>
      <w:r>
        <w:t xml:space="preserve">8. References</w:t>
      </w:r>
    </w:p>
    <w:p>
      <w:pPr>
        <w:numPr>
          <w:ilvl w:val="0"/>
          <w:numId w:val="1002"/>
        </w:numPr>
        <w:pStyle w:val="Compact"/>
      </w:pPr>
      <w:r>
        <w:t xml:space="preserve">Uzbekistan Ministry of Civil Aviation Annual Report (2023).</w:t>
      </w:r>
    </w:p>
    <w:p>
      <w:pPr>
        <w:numPr>
          <w:ilvl w:val="0"/>
          <w:numId w:val="1002"/>
        </w:numPr>
        <w:pStyle w:val="Compact"/>
      </w:pPr>
      <w:r>
        <w:t xml:space="preserve">EASA Certification Specifications for Aeroplanes (CS-25).</w:t>
      </w:r>
    </w:p>
    <w:p>
      <w:pPr>
        <w:pStyle w:val="FirstParagraph"/>
      </w:pPr>
      <w:r>
        <w:t xml:space="preserve">Dr. Aziza Karimova</w:t>
      </w:r>
      <w:r>
        <w:br/>
      </w:r>
      <w:r>
        <w:t xml:space="preserve">Aerospace Engineer</w:t>
      </w:r>
      <w:r>
        <w:br/>
      </w:r>
      <w:r>
        <w:t xml:space="preserve">Tashkent, Uzbekistan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on Aerospace Engineering in Tashkent</dc:title>
  <dc:creator/>
  <cp:keywords/>
  <dcterms:created xsi:type="dcterms:W3CDTF">2026-07-29T10:18:23Z</dcterms:created>
  <dcterms:modified xsi:type="dcterms:W3CDTF">2026-07-29T10:18:23Z</dcterms:modified>
</cp:coreProperties>
</file>

<file path=docProps/custom.xml><?xml version="1.0" encoding="utf-8"?>
<Properties xmlns="http://schemas.openxmlformats.org/officeDocument/2006/custom-properties" xmlns:vt="http://schemas.openxmlformats.org/officeDocument/2006/docPropsVTypes"/>
</file>