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for</w:t>
      </w:r>
      <w:r>
        <w:t xml:space="preserve"> </w:t>
      </w:r>
      <w:r>
        <w:t xml:space="preserve">Toronto,</w:t>
      </w:r>
      <w:r>
        <w:t xml:space="preserve"> </w:t>
      </w:r>
      <w:r>
        <w:t xml:space="preserve">Canada</w:t>
      </w:r>
    </w:p>
    <w:bookmarkStart w:id="20" w:name="X6d9680ceb973e34509e4f88de7c382db4b2dad0"/>
    <w:p>
      <w:pPr>
        <w:pStyle w:val="Heading1"/>
      </w:pPr>
      <w:r>
        <w:t xml:space="preserve">Laboratory Report on Architectural Standards</w:t>
      </w:r>
    </w:p>
    <w:p>
      <w:pPr>
        <w:pStyle w:val="FirstParagraph"/>
      </w:pPr>
      <w:r>
        <w:rPr>
          <w:bCs/>
          <w:b/>
        </w:rPr>
        <w:t xml:space="preserve">Jurisdiction:</w:t>
      </w:r>
      <w:r>
        <w:t xml:space="preserve"> </w:t>
      </w:r>
      <w:r>
        <w:t xml:space="preserve">Toronto, Canada</w:t>
      </w:r>
    </w:p>
    <w:p>
      <w:pPr>
        <w:pStyle w:val="BodyText"/>
      </w:pPr>
      <w:r>
        <w:rPr>
          <w:bCs/>
          <w:b/>
        </w:rPr>
        <w:t xml:space="preserve">Date:</w:t>
      </w:r>
    </w:p>
    <w:p>
      <w:pPr>
        <w:pStyle w:val="BodyText"/>
      </w:pPr>
      <w:r>
        <w:t xml:space="preserve">  October 26, 2023</w:t>
      </w:r>
    </w:p>
    <w:p>
      <w:pPr>
        <w:pStyle w:val="BodyText"/>
      </w:pPr>
      <w:r>
        <w:rPr>
          <w:iCs/>
          <w:i/>
        </w:rPr>
        <w:t xml:space="preserve">This document serves as a comprehensive technical assessment regarding the role of the Architect within the regulatory framework of Toronto, Canada.</w:t>
      </w:r>
    </w:p>
    <w:bookmarkEnd w:id="20"/>
    <w:bookmarkStart w:id="21" w:name="executive-summary"/>
    <w:p>
      <w:pPr>
        <w:pStyle w:val="Heading3"/>
      </w:pPr>
      <w:r>
        <w:t xml:space="preserve">1. Executive Summary</w:t>
      </w:r>
    </w:p>
    <w:p>
      <w:pPr>
        <w:pStyle w:val="FirstParagraph"/>
      </w:pPr>
      <w:r>
        <w:t xml:space="preserve">The primary objective of this laboratory report is to analyze the critical responsibilities, regulatory obligations, and technical competencies required of an Architect operating within the dense urban environment of Toronto, Canada. As a major global hub and a city characterized by rapid vertical growth, Toronto presents unique challenges for architectural practice. This report examines how an Architect must navigate the intersection of historic preservation codes in neighborhoods such as Yorkville and King West, while simultaneously addressing modern sustainability mandates set forth by both municipal and provincial governments in Canada.</w:t>
      </w:r>
    </w:p>
    <w:bookmarkEnd w:id="21"/>
    <w:bookmarkStart w:id="22" w:name="introduction"/>
    <w:p>
      <w:pPr>
        <w:pStyle w:val="Heading3"/>
      </w:pPr>
      <w:r>
        <w:t xml:space="preserve">2. Introduction</w:t>
      </w:r>
    </w:p>
    <w:p>
      <w:pPr>
        <w:pStyle w:val="FirstParagraph"/>
      </w:pPr>
      <w:r>
        <w:t xml:space="preserve">In the context of Canadian urban planning, the term "Architect" refers to a licensed professional protected under the Architects Registration Act of Ontario. The scope of practice extends beyond mere aesthetic design; it encompasses structural integrity, life safety, accessibility compliance (specifically AODA standards), and environmental sustainability. This lab report investigates these dimensions through the lens of Toronto's specific climatic conditions and zoning bylaws.</w:t>
      </w:r>
    </w:p>
    <w:p>
      <w:pPr>
        <w:pStyle w:val="BodyText"/>
      </w:pPr>
      <w:r>
        <w:t xml:space="preserve">Toronto, Canada, is experiencing one of the most significant housing booms in its history. Consequently, the Architect plays a pivotal role in shaping the skyline while ensuring that new developments do not compromise heritage values or community character. This report aims to elucidate these dual responsibilities.</w:t>
      </w:r>
    </w:p>
    <w:bookmarkEnd w:id="22"/>
    <w:bookmarkStart w:id="23" w:name="regulatory-framework-and-compliance"/>
    <w:p>
      <w:pPr>
        <w:pStyle w:val="Heading3"/>
      </w:pPr>
      <w:r>
        <w:t xml:space="preserve">3. Regulatory Framework and Compliance</w:t>
      </w:r>
    </w:p>
    <w:p>
      <w:pPr>
        <w:pStyle w:val="FirstParagraph"/>
      </w:pPr>
      <w:r>
        <w:t xml:space="preserve">The practice of architecture in Toronto is heavily regulated. An Architect must adhere to several layers of legislation:</w:t>
      </w:r>
    </w:p>
    <w:p>
      <w:pPr>
        <w:numPr>
          <w:ilvl w:val="0"/>
          <w:numId w:val="1001"/>
        </w:numPr>
        <w:pStyle w:val="Compact"/>
      </w:pPr>
      <w:r>
        <w:rPr>
          <w:bCs/>
          <w:b/>
        </w:rPr>
        <w:t xml:space="preserve">The Ontario Building Code (OBC):</w:t>
      </w:r>
      <w:r>
        <w:t xml:space="preserve"> </w:t>
      </w:r>
      <w:r>
        <w:t xml:space="preserve">This is the foundational technical standard. The Architect must ensure that all designs meet fire separation requirements, structural load capacities, and energy efficiency targets.</w:t>
      </w:r>
    </w:p>
    <w:p>
      <w:pPr>
        <w:numPr>
          <w:ilvl w:val="0"/>
          <w:numId w:val="1001"/>
        </w:numPr>
        <w:pStyle w:val="Compact"/>
      </w:pPr>
      <w:r>
        <w:rPr>
          <w:bCs/>
          <w:b/>
        </w:rPr>
        <w:t xml:space="preserve">Toronto Zoning Bylaws:</w:t>
      </w:r>
      <w:r>
        <w:t xml:space="preserve"> </w:t>
      </w:r>
      <w:r>
        <w:t xml:space="preserve">These bylaws dictate height restrictions, floor space indices (FSI), setback requirements from property lines, and parking minimums. An Architect must demonstrate proficiency in navigating these complex municipal rules to secure building permits.</w:t>
      </w:r>
    </w:p>
    <w:p>
      <w:pPr>
        <w:numPr>
          <w:ilvl w:val="0"/>
          <w:numId w:val="1001"/>
        </w:numPr>
        <w:pStyle w:val="Compact"/>
      </w:pPr>
      <w:r>
        <w:rPr>
          <w:bCs/>
          <w:b/>
        </w:rPr>
        <w:t xml:space="preserve">Historic Preservation Policies:</w:t>
      </w:r>
      <w:r>
        <w:t xml:space="preserve"> </w:t>
      </w:r>
      <w:r>
        <w:t xml:space="preserve">In areas like Cabbagetown or Distillery District, the Architect is bound by heritage conservation district plans. Alterations to designated structures require strict adherence to the Secretary of the Interior’s Standards for Rehabilitation, adapted for Canadian contexts.</w:t>
      </w:r>
    </w:p>
    <w:p>
      <w:pPr>
        <w:pStyle w:val="FirstParagraph"/>
      </w:pPr>
      <w:r>
        <w:t xml:space="preserve">This lab report highlights that failure to comply with any of these regulations results in significant legal liabilities and construction delays, emphasizing the need for rigorous due diligence by the Architect.</w:t>
      </w:r>
    </w:p>
    <w:bookmarkEnd w:id="23"/>
    <w:bookmarkStart w:id="26" w:name="X66407911dc32a6e1675de83431af0bef21b4a3a"/>
    <w:p>
      <w:pPr>
        <w:pStyle w:val="Heading3"/>
      </w:pPr>
      <w:r>
        <w:t xml:space="preserve">4. Environmental Sustainability and Climatic Considerations</w:t>
      </w:r>
    </w:p>
    <w:p>
      <w:pPr>
        <w:pStyle w:val="FirstParagraph"/>
      </w:pPr>
      <w:r>
        <w:t xml:space="preserve">Toronto experiences four distinct seasons, with cold winters reaching -20°C and humid summers exceeding 35°C. The role of the Architect in this context is not merely functional but ecological. In Canada, there is a growing mandate for Net-Zero ready buildings.</w:t>
      </w:r>
    </w:p>
    <w:bookmarkStart w:id="24" w:name="energy-efficiency"/>
    <w:p>
      <w:pPr>
        <w:pStyle w:val="Heading4"/>
      </w:pPr>
      <w:r>
        <w:t xml:space="preserve">4.1 Energy Efficiency</w:t>
      </w:r>
    </w:p>
    <w:p>
      <w:pPr>
        <w:pStyle w:val="FirstParagraph"/>
      </w:pPr>
      <w:r>
        <w:t xml:space="preserve">The Architect must specify high-performance envelope systems, including triple-glazed windows and continuous insulation layers to meet the rigorous thermal resistance (R-value) standards required by the Ontario Building Code for cold climates. This reduces the carbon footprint of heating and cooling systems.</w:t>
      </w:r>
    </w:p>
    <w:bookmarkEnd w:id="24"/>
    <w:bookmarkStart w:id="25" w:name="sustainable-urban-drainage"/>
    <w:p>
      <w:pPr>
        <w:pStyle w:val="Heading4"/>
      </w:pPr>
      <w:r>
        <w:t xml:space="preserve">4.2 Sustainable Urban Drainage</w:t>
      </w:r>
    </w:p>
    <w:p>
      <w:pPr>
        <w:pStyle w:val="FirstParagraph"/>
      </w:pPr>
      <w:r>
        <w:t xml:space="preserve">Given Toronto's aging sewer infrastructure, modern architectural designs must incorporate green roofs and permeable paving solutions. The Architect is responsible for integrating these elements into the aesthetic fabric of the building, ensuring they comply with local stormwater management policies.</w:t>
      </w:r>
    </w:p>
    <w:p>
      <w:pPr>
        <w:pStyle w:val="BodyText"/>
      </w:pPr>
      <w:r>
        <w:t xml:space="preserve">Metric</w:t>
      </w:r>
    </w:p>
    <w:bookmarkEnd w:id="25"/>
    <w:bookmarkEnd w:id="26"/>
    <w:p>
      <w:pPr>
        <w:pStyle w:val="BodyText"/>
      </w:pPr>
      <w:r>
        <w:t xml:space="preserve">Standard Requirement in Toronto</w:t>
      </w:r>
    </w:p>
    <w:p>
      <w:pPr>
        <w:pStyle w:val="BodyText"/>
      </w:pPr>
      <w:r>
        <w:t xml:space="preserve">Architectural Responsibility</w:t>
      </w:r>
    </w:p>
    <w:p>
      <w:pPr>
        <w:pStyle w:val="BodyText"/>
      </w:pPr>
      <w:r>
        <w:br/>
      </w:r>
      <w:r>
        <w:t xml:space="preserve"> </w:t>
      </w:r>
    </w:p>
    <w:p>
      <w:pPr>
        <w:pStyle w:val="BodyText"/>
      </w:pPr>
      <w:r>
        <w:br/>
      </w:r>
      <w:r>
        <w:t xml:space="preserve"> </w:t>
      </w:r>
    </w:p>
    <w:p>
      <w:pPr>
        <w:pStyle w:val="BodyText"/>
      </w:pPr>
      <w:r>
        <w:br/>
      </w:r>
      <w:r>
        <w:t xml:space="preserve"> </w:t>
      </w:r>
    </w:p>
    <w:p>
      <w:pPr>
        <w:pStyle w:val="BodyText"/>
      </w:pPr>
      <w:r>
        <w:br/>
      </w:r>
      <w:r>
        <w:t xml:space="preserve"> </w:t>
      </w:r>
    </w:p>
    <w:bookmarkStart w:id="27" w:name="social-equity-and-accessibility-aoda"/>
    <w:p>
      <w:pPr>
        <w:pStyle w:val="Heading3"/>
      </w:pPr>
      <w:r>
        <w:t xml:space="preserve">5. Social Equity and Accessibility (AODA)</w:t>
      </w:r>
    </w:p>
    <w:p>
      <w:pPr>
        <w:pStyle w:val="FirstParagraph"/>
      </w:pPr>
      <w:r>
        <w:t xml:space="preserve">In Canada, the Accessibility for Ontarians with Disabilities Act (AODA) is strictly enforced. The Architect must ensure that all public-facing buildings in Toronto are fully accessible. This includes designing appropriate ramp slopes, door widths, elevator dimensions, and tactile signage. Non-compliance is not only a legal violation but also contradicts the inclusive ethos of modern Canadian society.</w:t>
      </w:r>
    </w:p>
    <w:bookmarkEnd w:id="27"/>
    <w:p>
      <w:pPr>
        <w:pStyle w:val="BodyText"/>
      </w:pPr>
      <w:r>
        <w:br/>
      </w:r>
      <w:r>
        <w:t xml:space="preserve"> </w:t>
      </w:r>
    </w:p>
    <w:bookmarkStart w:id="28" w:name="Xd76b8ed54903ab771e9c6c32cea4707ff909814"/>
    <w:p>
      <w:pPr>
        <w:pStyle w:val="Heading3"/>
      </w:pPr>
      <w:r>
        <w:t xml:space="preserve">6. Case Study Analysis: High-Density Residential Development</w:t>
      </w:r>
    </w:p>
    <w:p>
      <w:pPr>
        <w:pStyle w:val="FirstParagraph"/>
      </w:pPr>
      <w:r>
        <w:t xml:space="preserve">To illustrate the practical application of these principles, we analyze a hypothetical high-density residential project in downtown Toronto. The Architect faced challenges regarding shadow casting on adjacent public parks and ventilation shafts for underground parking.</w:t>
      </w:r>
    </w:p>
    <w:p>
      <w:pPr>
        <w:pStyle w:val="BodyText"/>
      </w:pPr>
      <w:r>
        <w:br/>
      </w:r>
      <w:r>
        <w:t xml:space="preserve"> </w:t>
      </w:r>
    </w:p>
    <w:p>
      <w:pPr>
        <w:numPr>
          <w:ilvl w:val="0"/>
          <w:numId w:val="1002"/>
        </w:numPr>
        <w:pStyle w:val="Compact"/>
      </w:pPr>
      <w:r>
        <w:rPr>
          <w:bCs/>
          <w:b/>
        </w:rPr>
        <w:t xml:space="preserve">Challenge:</w:t>
      </w:r>
      <w:r>
        <w:t xml:space="preserve"> </w:t>
      </w:r>
      <w:r>
        <w:t xml:space="preserve">Maintaining sunlight access to neighboring buildings as mandated by the Toronto Official Plan.</w:t>
      </w:r>
    </w:p>
    <w:p>
      <w:pPr>
        <w:numPr>
          <w:ilvl w:val="0"/>
          <w:numId w:val="1002"/>
        </w:numPr>
        <w:pStyle w:val="Compact"/>
      </w:pPr>
      <w:r>
        <w:rPr>
          <w:bCs/>
          <w:b/>
        </w:rPr>
        <w:t xml:space="preserve">Solution:</w:t>
      </w:r>
      <w:r>
        <w:t xml:space="preserve"> </w:t>
      </w:r>
      <w:r>
        <w:t xml:space="preserve">The Architect utilized massing studies and computational fluid dynamics simulations to optimize building orientation. This resulted in a stepped facade design that reduced shadow impact while maximizing natural light for residents.</w:t>
      </w:r>
    </w:p>
    <w:p>
      <w:pPr>
        <w:pStyle w:val="FirstParagraph"/>
      </w:pPr>
      <w:r>
        <w:br/>
      </w:r>
      <w:r>
        <w:t xml:space="preserve"> </w:t>
      </w:r>
    </w:p>
    <w:p>
      <w:pPr>
        <w:pStyle w:val="BodyText"/>
      </w:pPr>
      <w:r>
        <w:t xml:space="preserve">This case demonstrates that an Architect in Toronto must be proficient in digital modeling tools and urban analysis software to satisfy municipal planning committee requirements.</w:t>
      </w:r>
    </w:p>
    <w:bookmarkEnd w:id="28"/>
    <w:p>
      <w:pPr>
        <w:pStyle w:val="BodyText"/>
      </w:pPr>
      <w:r>
        <w:br/>
      </w:r>
      <w:r>
        <w:t xml:space="preserve"> </w:t>
      </w:r>
    </w:p>
    <w:bookmarkStart w:id="29" w:name="conclusion"/>
    <w:p>
      <w:pPr>
        <w:pStyle w:val="Heading3"/>
      </w:pPr>
      <w:r>
        <w:t xml:space="preserve">7. Conclusion</w:t>
      </w:r>
    </w:p>
    <w:p>
      <w:pPr>
        <w:pStyle w:val="FirstParagraph"/>
      </w:pPr>
      <w:r>
        <w:t xml:space="preserve">This Lab Report concludes that the role of the Architect in Toronto, Canada, is multifaceted and demanding. It requires a synthesis of artistic vision, technical engineering knowledge, legal compliance awareness, and environmental stewardship.</w:t>
      </w:r>
    </w:p>
    <w:p>
      <w:pPr>
        <w:pStyle w:val="BodyText"/>
      </w:pPr>
      <w:r>
        <w:br/>
      </w:r>
      <w:r>
        <w:t xml:space="preserve"> </w:t>
      </w:r>
    </w:p>
    <w:p>
      <w:pPr>
        <w:pStyle w:val="BodyText"/>
      </w:pPr>
      <w:r>
        <w:t xml:space="preserve">The findings indicate that successful architectural projects in this region are those where the Architect proactively engages with zoning laws early in the design process. Furthermore, the integration of sustainable practices is no longer optional but a fundamental requirement for licensure and project approval.</w:t>
      </w:r>
    </w:p>
    <w:p>
      <w:pPr>
        <w:pStyle w:val="BodyText"/>
      </w:pPr>
      <w:r>
        <w:br/>
      </w:r>
      <w:r>
        <w:t xml:space="preserve"> </w:t>
      </w:r>
    </w:p>
    <w:p>
      <w:pPr>
        <w:pStyle w:val="BodyText"/>
      </w:pPr>
      <w:r>
        <w:t xml:space="preserve">As Toronto continues to evolve, Architects must remain adaptable, embracing new materials and technologies that align with Canada’s broader climate goals. The integrity of the built environment depends on the rigorous application of these standards by every licensed Architect operating within this jurisdiction.</w:t>
      </w:r>
    </w:p>
    <w:bookmarkEnd w:id="29"/>
    <w:p>
      <w:pPr>
        <w:pStyle w:val="BodyText"/>
      </w:pPr>
      <w:r>
        <w:br/>
      </w:r>
      <w:r>
        <w:t xml:space="preserve"> </w:t>
      </w:r>
    </w:p>
    <w:p>
      <w:pPr>
        <w:pStyle w:val="BodyText"/>
      </w:pPr>
      <w:r>
        <w:rPr>
          <w:bCs/>
          <w:b/>
        </w:rPr>
        <w:t xml:space="preserve">End of Report</w:t>
      </w:r>
      <w:r>
        <w:br/>
      </w:r>
      <w:r>
        <w:t xml:space="preserve">Prepared for: Department of Urban Planning &amp; Architecture</w:t>
      </w:r>
      <w:r>
        <w:br/>
      </w:r>
      <w:r>
        <w:t xml:space="preserve">Location: Toronto, Canada</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for Toronto, Canada</dc:title>
  <dc:creator/>
  <dc:language>en</dc:language>
  <cp:keywords/>
  <dcterms:created xsi:type="dcterms:W3CDTF">2026-07-29T11:55:01Z</dcterms:created>
  <dcterms:modified xsi:type="dcterms:W3CDTF">2026-07-29T11:55:01Z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