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Strategies</w:t>
      </w:r>
      <w:r>
        <w:t xml:space="preserve"> </w:t>
      </w:r>
      <w:r>
        <w:t xml:space="preserve">for</w:t>
      </w:r>
      <w:r>
        <w:t xml:space="preserve"> </w:t>
      </w:r>
      <w:r>
        <w:t xml:space="preserve">Baghdad,</w:t>
      </w:r>
      <w:r>
        <w:t xml:space="preserve"> </w:t>
      </w:r>
      <w:r>
        <w:t xml:space="preserve">Iraq</w:t>
      </w:r>
    </w:p>
    <w:p>
      <w:pPr>
        <w:pStyle w:val="FirstParagraph"/>
      </w:pPr>
      <w:r>
        <w:t xml:space="preserve">```html</w:t>
      </w:r>
    </w:p>
    <w:bookmarkStart w:id="32" w:name="X977edad64292f25face0c85890e71d427b5e340"/>
    <w:p>
      <w:pPr>
        <w:pStyle w:val="Heading1"/>
      </w:pPr>
      <w:r>
        <w:t xml:space="preserve">Laboratory Report: Architectural Adaptation and Cultural Synthesis in Baghdad, Iraq</w:t>
      </w:r>
    </w:p>
    <w:p>
      <w:pPr>
        <w:pStyle w:val="FirstParagraph"/>
      </w:pPr>
      <w:r>
        <w:t xml:space="preserve">Date: October 24, 2023</w:t>
      </w:r>
      <w:r>
        <w:br/>
      </w:r>
      <w:r>
        <w:t xml:space="preserve">Subject: Contextual Architecture in Post-Conflict Urban Environments</w:t>
      </w:r>
      <w:r>
        <w:br/>
      </w:r>
      <w:r>
        <w:t xml:space="preserve">Location Focus: Baghdad, Iraq</w:t>
      </w:r>
    </w:p>
    <w:bookmarkStart w:id="20" w:name="i.-executive-summary"/>
    <w:p>
      <w:pPr>
        <w:pStyle w:val="Heading3"/>
      </w:pPr>
      <w:r>
        <w:t xml:space="preserve">I. Executive Summary</w:t>
      </w:r>
    </w:p>
    <w:p>
      <w:pPr>
        <w:pStyle w:val="FirstParagraph"/>
      </w:pPr>
      <w:r>
        <w:t xml:space="preserve">The role of the Architect is not merely that of a builder but serves as a cultural mediator, particularly within complex urban fabrics such as those found in Baghdad. This Lab Report examines the critical imperative for an Architect to navigate the dual challenges of extreme environmental conditions and profound socio-cultural heritage in Iraq. The study analyzes how traditional vernacular architecture from Mesopotamia can be reinterpreted through contemporary sustainable design principles to meet modern housing demands while preserving identity.</w:t>
      </w:r>
    </w:p>
    <w:bookmarkEnd w:id="20"/>
    <w:bookmarkStart w:id="21" w:name="ii.-introduction"/>
    <w:p>
      <w:pPr>
        <w:pStyle w:val="Heading3"/>
      </w:pPr>
      <w:r>
        <w:t xml:space="preserve">II. Introduction</w:t>
      </w:r>
    </w:p>
    <w:p>
      <w:pPr>
        <w:pStyle w:val="FirstParagraph"/>
      </w:pPr>
      <w:r>
        <w:t xml:space="preserve">Baghdad, the "City of Peace," has historically been a hub of learning, trade, and artistic innovation. However, recent decades have subjected its urban landscape to severe physical destruction and social fragmentation. For any professional Architect operating in this region today, the task extends far beyond structural integrity. It involves a deep engagement with memory loss, environmental resilience, and community rebuilding.</w:t>
      </w:r>
    </w:p>
    <w:p>
      <w:pPr>
        <w:pStyle w:val="BodyText"/>
      </w:pPr>
      <w:r>
        <w:t xml:space="preserve">This report posits that the successful implementation of architectural projects in Iraq requires a specialized approach known as "Critical Regionalism." This method adapts global modern techniques to local contexts. The primary objective of this laboratory analysis is to demonstrate how an Architect can utilize passive cooling strategies, local material sourcing, and symbolic spatial organization to create buildings that are both functional and culturally resonant in Baghdad.</w:t>
      </w:r>
    </w:p>
    <w:bookmarkEnd w:id="21"/>
    <w:bookmarkStart w:id="24" w:name="X2f4ccb2e2b8c348dc3b60870059e2746339d805"/>
    <w:p>
      <w:pPr>
        <w:pStyle w:val="Heading3"/>
      </w:pPr>
      <w:r>
        <w:t xml:space="preserve">III. Environmental Analysis and Climatic Response</w:t>
      </w:r>
    </w:p>
    <w:p>
      <w:pPr>
        <w:pStyle w:val="FirstParagraph"/>
      </w:pPr>
      <w:r>
        <w:t xml:space="preserve">The physical environment of Iraq presents some of the most challenging climatic conditions for building design. Baghdad experiences hot, dry summers with temperatures frequently exceeding 50°C (122°F), followed by mild but sometimes humid winters.</w:t>
      </w:r>
    </w:p>
    <w:bookmarkStart w:id="22" w:name="a.-heat-mitigation-strategies"/>
    <w:p>
      <w:pPr>
        <w:pStyle w:val="Heading4"/>
      </w:pPr>
      <w:r>
        <w:t xml:space="preserve">A. Heat Mitigation Strategies</w:t>
      </w:r>
    </w:p>
    <w:p>
      <w:pPr>
        <w:pStyle w:val="FirstParagraph"/>
      </w:pPr>
      <w:r>
        <w:t xml:space="preserve">An Architect must prioritize thermal mass and shading in all designs for this region. Traditional Iraqi architecture utilizes thick mud-brick walls, which have high thermal inertia, delaying the transfer of heat into interior spaces until nighttime. Modern adaptations should combine reinforced concrete with insulation materials that mimic these properties.</w:t>
      </w:r>
    </w:p>
    <w:p>
      <w:pPr>
        <w:numPr>
          <w:ilvl w:val="0"/>
          <w:numId w:val="1001"/>
        </w:numPr>
        <w:pStyle w:val="Compact"/>
      </w:pPr>
      <w:r>
        <w:rPr>
          <w:bCs/>
          <w:b/>
        </w:rPr>
        <w:t xml:space="preserve">Courtyard Housing:</w:t>
      </w:r>
      <w:r>
        <w:t xml:space="preserve"> </w:t>
      </w:r>
      <w:r>
        <w:t xml:space="preserve">Reintroducing the central courtyard is essential. It creates a microclimate where evaporative cooling occurs, lowering ambient temperatures. The Architect must design inward-focused facades to protect privacy and reduce solar gain.</w:t>
      </w:r>
    </w:p>
    <w:p>
      <w:pPr>
        <w:numPr>
          <w:ilvl w:val="0"/>
          <w:numId w:val="1001"/>
        </w:numPr>
        <w:pStyle w:val="Compact"/>
      </w:pPr>
      <w:r>
        <w:rPr>
          <w:bCs/>
          <w:b/>
        </w:rPr>
        <w:t xml:space="preserve">Ventilation Shafts (Malqaf):</w:t>
      </w:r>
      <w:r>
        <w:t xml:space="preserve"> </w:t>
      </w:r>
      <w:r>
        <w:t xml:space="preserve">Drawing from ancient Persian and Mesopotamian techniques, wind catchers can be integrated into modern high-rises in Baghdad to harness prevailing winds for natural ventilation, reducing reliance on energy-intensive air conditioning.</w:t>
      </w:r>
    </w:p>
    <w:bookmarkEnd w:id="22"/>
    <w:bookmarkStart w:id="23" w:name="b.-solar-orientation"/>
    <w:p>
      <w:pPr>
        <w:pStyle w:val="Heading4"/>
      </w:pPr>
      <w:r>
        <w:t xml:space="preserve">B. Solar Orientation</w:t>
      </w:r>
    </w:p>
    <w:p>
      <w:pPr>
        <w:pStyle w:val="FirstParagraph"/>
      </w:pPr>
      <w:r>
        <w:t xml:space="preserve">The orientation of buildings plays a crucial role in energy efficiency. An Architect must analyze sun paths meticulously. In Baghdad, minimizing east and west-facing glazing is critical to prevent excessive solar heat gain during the morning and late afternoon hours when the sun is at a lower angle but still intense.</w:t>
      </w:r>
    </w:p>
    <w:bookmarkEnd w:id="23"/>
    <w:bookmarkEnd w:id="24"/>
    <w:bookmarkStart w:id="27" w:name="X17e835f426c876f02f98df5c24a450bbb7f168e"/>
    <w:p>
      <w:pPr>
        <w:pStyle w:val="Heading3"/>
      </w:pPr>
      <w:r>
        <w:t xml:space="preserve">IV. Cultural and Socio-Spatial Considerations</w:t>
      </w:r>
    </w:p>
    <w:p>
      <w:pPr>
        <w:pStyle w:val="FirstParagraph"/>
      </w:pPr>
      <w:r>
        <w:t xml:space="preserve">Beyond physics, the Architect must address the sociological fabric of Iraq. The concept of privacy is paramount in Islamic culture, influencing spatial organization significantly.</w:t>
      </w:r>
    </w:p>
    <w:bookmarkStart w:id="25" w:name="a.-privacy-and-gender-dynamics"/>
    <w:p>
      <w:pPr>
        <w:pStyle w:val="Heading4"/>
      </w:pPr>
      <w:r>
        <w:t xml:space="preserve">A. Privacy and Gender Dynamics</w:t>
      </w:r>
    </w:p>
    <w:p>
      <w:pPr>
        <w:pStyle w:val="FirstParagraph"/>
      </w:pPr>
      <w:r>
        <w:t xml:space="preserve">In traditional Iraqi society, spaces are often segregated to accommodate family privacy needs. Modern apartments frequently struggle with this requirement due to imported Western floor plans that prioritize open-concept living. An Architect must redesign residential layouts to include separate reception areas for male guests versus family quarters, ensuring cultural comfort without compromising modern hygiene and accessibility standards.</w:t>
      </w:r>
    </w:p>
    <w:bookmarkEnd w:id="25"/>
    <w:bookmarkStart w:id="26" w:name="b.-public-space-and-social-cohesion"/>
    <w:p>
      <w:pPr>
        <w:pStyle w:val="Heading4"/>
      </w:pPr>
      <w:r>
        <w:t xml:space="preserve">B. Public Space and Social Cohesion</w:t>
      </w:r>
    </w:p>
    <w:p>
      <w:pPr>
        <w:pStyle w:val="FirstParagraph"/>
      </w:pPr>
      <w:r>
        <w:t xml:space="preserve">Baghdat has suffered from a loss of public gathering spaces due to conflict. The role of the Architect in urban planning is thus civic as much as it is aesthetic. Designing parks, plazas, and community centers that are safe and inviting helps rebuild social capital. These spaces should be shaded and water-integrated (using fountains or reflecting pools) to provide relief from the heat while encouraging social interaction.</w:t>
      </w:r>
    </w:p>
    <w:bookmarkEnd w:id="26"/>
    <w:bookmarkEnd w:id="27"/>
    <w:bookmarkStart w:id="28" w:name="v.-materiality-and-sustainability"/>
    <w:p>
      <w:pPr>
        <w:pStyle w:val="Heading3"/>
      </w:pPr>
      <w:r>
        <w:t xml:space="preserve">V. Materiality and Sustainability</w:t>
      </w:r>
    </w:p>
    <w:p>
      <w:pPr>
        <w:pStyle w:val="FirstParagraph"/>
      </w:pPr>
      <w:r>
        <w:t xml:space="preserve">The availability of materials in Iraq varies, but there is a strong tradition of using local resources. The Architect should advocate for:</w:t>
      </w:r>
    </w:p>
    <w:p>
      <w:pPr>
        <w:numPr>
          <w:ilvl w:val="0"/>
          <w:numId w:val="1002"/>
        </w:numPr>
        <w:pStyle w:val="Compact"/>
      </w:pPr>
      <w:r>
        <w:rPr>
          <w:bCs/>
          <w:b/>
        </w:rPr>
        <w:t xml:space="preserve">Mud-Brick (Adobe) Innovation:</w:t>
      </w:r>
      <w:r>
        <w:t xml:space="preserve"> </w:t>
      </w:r>
      <w:r>
        <w:t xml:space="preserve">While traditional mud-brick is susceptible to water erosion, modern stabilized earth blocks can offer durability with low carbon footprints.</w:t>
      </w:r>
    </w:p>
    <w:p>
      <w:pPr>
        <w:numPr>
          <w:ilvl w:val="0"/>
          <w:numId w:val="1002"/>
        </w:numPr>
        <w:pStyle w:val="Compact"/>
      </w:pPr>
      <w:r>
        <w:rPr>
          <w:bCs/>
          <w:b/>
        </w:rPr>
        <w:t xml:space="preserve">Terrazzo and Stone:</w:t>
      </w:r>
      <w:r>
        <w:t xml:space="preserve"> </w:t>
      </w:r>
      <w:r>
        <w:t xml:space="preserve">Utilizing local stone for flooring and cladding provides thermal comfort and aesthetic continuity with historical structures like the Al-Mutanabbi Street area.</w:t>
      </w:r>
    </w:p>
    <w:p>
      <w:pPr>
        <w:numPr>
          <w:ilvl w:val="0"/>
          <w:numId w:val="1002"/>
        </w:numPr>
        <w:pStyle w:val="Compact"/>
      </w:pPr>
      <w:r>
        <w:rPr>
          <w:bCs/>
          <w:b/>
        </w:rPr>
        <w:t xml:space="preserve">Sustainable Water Management:</w:t>
      </w:r>
      <w:r>
        <w:t xml:space="preserve"> </w:t>
      </w:r>
      <w:r>
        <w:t xml:space="preserve">Given water scarcity issues, rainwater harvesting systems must be integrated into the design. Additionally, greywater recycling for irrigation of landscaping can significantly reduce water consumption in residential complexes.</w:t>
      </w:r>
    </w:p>
    <w:bookmarkEnd w:id="28"/>
    <w:bookmarkStart w:id="29" w:name="Xd8c16b20073eb690317273f3c1843228c56f969"/>
    <w:p>
      <w:pPr>
        <w:pStyle w:val="Heading3"/>
      </w:pPr>
      <w:r>
        <w:t xml:space="preserve">VI. Case Study Analysis: Reconstruction of Historic Districts</w:t>
      </w:r>
    </w:p>
    <w:p>
      <w:pPr>
        <w:pStyle w:val="FirstParagraph"/>
      </w:pPr>
      <w:r>
        <w:t xml:space="preserve">An examination of recent efforts to restore parts of Kadhimiya and Al-Shuala reveals the difficulties faced when local knowledge is ignored. Projects that imposed generic modernist aesthetics failed because they did not account for the narrow, winding streets that provided natural shading in pre-war eras. Conversely, successful interventions involve retrofitting old structures with improved insulation and utilities while maintaining the original facade character. This approach allows an Architect to preserve the "sense of place" (Genius Loci) which is vital for psychological recovery in post-conflict zones.</w:t>
      </w:r>
    </w:p>
    <w:bookmarkEnd w:id="29"/>
    <w:bookmarkStart w:id="30" w:name="vii.-challenges-and-risk-assessment"/>
    <w:p>
      <w:pPr>
        <w:pStyle w:val="Heading3"/>
      </w:pPr>
      <w:r>
        <w:t xml:space="preserve">VII. Challenges and Risk Assessment</w:t>
      </w:r>
    </w:p>
    <w:p>
      <w:pPr>
        <w:pStyle w:val="FirstParagraph"/>
      </w:pPr>
      <w:r>
        <w:t xml:space="preserve">The Architect in Iraq faces significant hurdles:</w:t>
      </w:r>
    </w:p>
    <w:p>
      <w:pPr>
        <w:pStyle w:val="BodyText"/>
      </w:pPr>
      <w:r>
        <w:rPr>
          <w:bCs/>
          <w:b/>
        </w:rPr>
        <w:t xml:space="preserve">Economic Instability:</w:t>
      </w:r>
      <w:r>
        <w:t xml:space="preserve"> </w:t>
      </w:r>
      <w:r>
        <w:t xml:space="preserve">Fluctuations in currency and funding can halt projects mid-construction. Design must therefore be modular and adaptable.</w:t>
      </w:r>
    </w:p>
    <w:p>
      <w:pPr>
        <w:pStyle w:val="BodyText"/>
      </w:pPr>
      <w:r>
        <w:rPr>
          <w:bCs/>
          <w:b/>
        </w:rPr>
        <w:t xml:space="preserve">Bureaucratic Hurdles:</w:t>
      </w:r>
    </w:p>
    <w:p>
      <w:pPr>
        <w:pStyle w:val="BodyText"/>
      </w:pPr>
      <w:r>
        <w:rPr>
          <w:bCs/>
          <w:b/>
        </w:rPr>
        <w:t xml:space="preserve">Labor Skills Gap:</w:t>
      </w:r>
    </w:p>
    <w:p>
      <w:pPr>
        <w:pStyle w:val="BodyText"/>
      </w:pPr>
      <w:r>
        <w:t xml:space="preserve">There is often a disconnect between modern construction techniques and the available skilled labor force. Training programs led by lead Architects can bridge this gap, ensuring quality control.</w:t>
      </w:r>
    </w:p>
    <w:bookmarkEnd w:id="30"/>
    <w:bookmarkStart w:id="31" w:name="viii.-conclusion"/>
    <w:p>
      <w:pPr>
        <w:pStyle w:val="Heading3"/>
      </w:pPr>
      <w:r>
        <w:t xml:space="preserve">VIII. Conclusion</w:t>
      </w:r>
    </w:p>
    <w:p>
      <w:pPr>
        <w:pStyle w:val="FirstParagraph"/>
      </w:pPr>
      <w:r>
        <w:t xml:space="preserve">The conclusion of this laboratory report is that the role of an Architect in Baghdad, Iraq, transcends traditional design boundaries. It requires a multidisciplinary approach combining climatology, anthropology, and structural engineering. By respecting the environmental realities of the Tigris-Euphrates basin and honoring the deep-seated cultural values of privacy and community, Architects can contribute to national healing.</w:t>
      </w:r>
    </w:p>
    <w:p>
      <w:pPr>
        <w:pStyle w:val="BodyText"/>
      </w:pPr>
      <w:r>
        <w:t xml:space="preserve">Sustainable architecture in this context is not a luxury but a necessity for survival. Future projects must prioritize passive design strategies that reduce energy consumption while fostering social cohesion. The rebuilding of Baghdad offers a unique opportunity to demonstrate how modern technology can serve ancient wisdom, creating cities that are resilient against both climate change and social upheaval.</w:t>
      </w:r>
    </w:p>
    <w:p>
      <w:pPr>
        <w:pStyle w:val="BodyText"/>
      </w:pPr>
      <w:r>
        <w:t xml:space="preserve">It is recommended that architectural education in Iraq integrates these principles into the core curriculum, ensuring that the next generation of professionals is equipped to handle the complex demands of building in this historic region. The synthesis of past and future through thoughtful design is the most powerful tool available to an Architect working in Iraq.</w:t>
      </w:r>
    </w:p>
    <w:p>
      <w:pPr>
        <w:pStyle w:val="BodyText"/>
      </w:pPr>
      <w:r>
        <w:rPr>
          <w:iCs/>
          <w:i/>
        </w:rPr>
        <w:t xml:space="preserve">End of Report. Prepared for the Department of Urban Reconstruction, Baghdad.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Strategies for Baghdad, Iraq</dc:title>
  <dc:creator/>
  <dc:language>en</dc:language>
  <cp:keywords/>
  <dcterms:created xsi:type="dcterms:W3CDTF">2026-07-29T00:57:55Z</dcterms:created>
  <dcterms:modified xsi:type="dcterms:W3CDTF">2026-07-29T00:57:55Z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