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0ccbd0c33b2bcdebdd6e082d8f70d285eb745cb"/>
    <w:p>
      <w:pPr>
        <w:pStyle w:val="Heading1"/>
      </w:pPr>
      <w:r>
        <w:t xml:space="preserve">Laboratory Report on Architectural Integration and Sustainability</w:t>
      </w:r>
    </w:p>
    <w:p>
      <w:pPr>
        <w:pStyle w:val="FirstParagraph"/>
      </w:pPr>
      <w:r>
        <w:rPr>
          <w:bCs/>
          <w:b/>
        </w:rPr>
        <w:t xml:space="preserve">Date:</w:t>
      </w:r>
      <w:r>
        <w:t xml:space="preserve"> </w:t>
      </w:r>
      <w:r>
        <w:t xml:space="preserve">October 26, 2023</w:t>
      </w:r>
      <w:r>
        <w:br/>
      </w:r>
    </w:p>
    <w:bookmarkStart w:id="20" w:name="abstract"/>
    <w:p>
      <w:pPr>
        <w:pStyle w:val="Heading3"/>
      </w:pPr>
      <w:r>
        <w:t xml:space="preserve">Abstract</w:t>
      </w:r>
    </w:p>
    <w:p>
      <w:pPr>
        <w:pStyle w:val="FirstParagraph"/>
      </w:pPr>
      <w:r>
        <w:t xml:space="preserve">This laboratory report provides a comprehensive analysis of the role and impact of an</w:t>
      </w:r>
      <w:r>
        <w:t xml:space="preserve"> </w:t>
      </w:r>
      <w:r>
        <w:rPr>
          <w:iCs/>
          <w:i/>
        </w:rPr>
        <w:t xml:space="preserve">Architect</w:t>
      </w:r>
      <w:r>
        <w:t xml:space="preserve"> </w:t>
      </w:r>
      <w:r>
        <w:t xml:space="preserve">within the dynamic urban landscape of Malaysia Kuala Lumpur. The study evaluates how architectural interventions in this specific geographic context address the dual challenges of rapid urbanization and tropical climatic resilience. By examining case studies, material applications, and regulatory frameworks unique to Malaysia Kuala Lumpur, this document demonstrates that modern architecture is not merely an aesthetic pursuit but a critical laboratory for social and environmental engineering.</w:t>
      </w:r>
    </w:p>
    <w:bookmarkEnd w:id="20"/>
    <w:bookmarkStart w:id="21" w:name="introduction"/>
    <w:p>
      <w:pPr>
        <w:pStyle w:val="Heading2"/>
      </w:pPr>
      <w:r>
        <w:t xml:space="preserve">1. Introduction</w:t>
      </w:r>
    </w:p>
    <w:p>
      <w:pPr>
        <w:pStyle w:val="FirstParagraph"/>
      </w:pPr>
      <w:r>
        <w:t xml:space="preserve">The city of Malaysia Kuala Lumpur has transformed dramatically over the last three decades, evolving from a post-colonial trade hub into one of Southeast Asia’s most prominent metropolises. In this context, the role of an</w:t>
      </w:r>
      <w:r>
        <w:t xml:space="preserve"> </w:t>
      </w:r>
      <w:r>
        <w:rPr>
          <w:iCs/>
          <w:i/>
        </w:rPr>
        <w:t xml:space="preserve">Architect</w:t>
      </w:r>
      <w:r>
        <w:t xml:space="preserve"> </w:t>
      </w:r>
      <w:r>
        <w:t xml:space="preserve">transcends traditional design boundaries to encompass urban planner, environmental scientist, and cultural curator. This report investigates how architects operating in Malaysia Kuala Lumpur navigate the complexities of high-density living while preserving local heritage and responding to tropical weather patterns.</w:t>
      </w:r>
    </w:p>
    <w:p>
      <w:pPr>
        <w:pStyle w:val="BodyText"/>
      </w:pPr>
      <w:r>
        <w:t xml:space="preserve">The primary objective of this study is to determine how architectural principles applied in Malaysia Kuala Lumpur contribute to sustainable development goals. We hypothesize that successful projects in this region must balance modernist efficiency with vernacular traditions, utilizing passive cooling techniques and biophilic design strategies.</w:t>
      </w:r>
    </w:p>
    <w:bookmarkEnd w:id="21"/>
    <w:bookmarkStart w:id="22" w:name="methodology"/>
    <w:p>
      <w:pPr>
        <w:pStyle w:val="Heading2"/>
      </w:pPr>
      <w:r>
        <w:t xml:space="preserve">2. Methodology</w:t>
      </w:r>
    </w:p>
    <w:p>
      <w:pPr>
        <w:pStyle w:val="FirstParagraph"/>
      </w:pPr>
      <w:r>
        <w:t xml:space="preserve">To ensure a rigorous analysis, data was collected through site inspections of three landmark structures in Malaysia Kuala Lumpur: the Petronas Twin Towers, the National Mosque (Masjid Negara), and various mixed-use developments in the Bukit Bintang district. Qualitative interviews were conducted with practicing architects specializing in tropical design. The following parameters were evaluated:</w:t>
      </w:r>
    </w:p>
    <w:p>
      <w:pPr>
        <w:numPr>
          <w:ilvl w:val="0"/>
          <w:numId w:val="1001"/>
        </w:numPr>
        <w:pStyle w:val="Compact"/>
      </w:pPr>
      <w:r>
        <w:rPr>
          <w:bCs/>
          <w:b/>
        </w:rPr>
        <w:t xml:space="preserve">Climatic Responsiveness:</w:t>
      </w:r>
      <w:r>
        <w:t xml:space="preserve"> </w:t>
      </w:r>
      <w:r>
        <w:t xml:space="preserve">Analysis of shading devices, ventilation, and thermal mass.</w:t>
      </w:r>
    </w:p>
    <w:p>
      <w:pPr>
        <w:numPr>
          <w:ilvl w:val="0"/>
          <w:numId w:val="1001"/>
        </w:numPr>
        <w:pStyle w:val="Compact"/>
      </w:pPr>
      <w:r>
        <w:rPr>
          <w:bCs/>
          <w:b/>
        </w:rPr>
        <w:t xml:space="preserve">Cultural Integration:</w:t>
      </w:r>
      <w:r>
        <w:t xml:space="preserve"> </w:t>
      </w:r>
      <w:r>
        <w:t xml:space="preserve">Use of Islamic geometric patterns and Malay timber construction motifs in contemporary concrete structures.</w:t>
      </w:r>
    </w:p>
    <w:p>
      <w:pPr>
        <w:numPr>
          <w:ilvl w:val="0"/>
          <w:numId w:val="1001"/>
        </w:numPr>
        <w:pStyle w:val="Compact"/>
      </w:pPr>
      <w:r>
        <w:rPr>
          <w:bCs/>
          <w:b/>
        </w:rPr>
        <w:t xml:space="preserve">Sustainability Metrics:</w:t>
      </w:r>
    </w:p>
    <w:p>
      <w:pPr>
        <w:numPr>
          <w:ilvl w:val="0"/>
          <w:numId w:val="1000"/>
        </w:numPr>
        <w:pStyle w:val="Compact"/>
      </w:pPr>
      <w:r>
        <w:t xml:space="preserve">A review of Green Building Index (GBI) ratings specific to the Malaysia Kuala Lumpur region.</w:t>
      </w:r>
    </w:p>
    <w:bookmarkEnd w:id="22"/>
    <w:bookmarkStart w:id="25" w:name="analysis-of-architectural-elements"/>
    <w:p>
      <w:pPr>
        <w:pStyle w:val="Heading2"/>
      </w:pPr>
      <w:r>
        <w:t xml:space="preserve">3. Analysis of Architectural Elements</w:t>
      </w:r>
    </w:p>
    <w:bookmarkStart w:id="23" w:name="X7f207142036913e5c91aca592cc87aa07a49846"/>
    <w:p>
      <w:pPr>
        <w:pStyle w:val="Heading3"/>
      </w:pPr>
      <w:r>
        <w:t xml:space="preserve">3.1 The Role of the Modern Architect in High-Density Urbanism</w:t>
      </w:r>
    </w:p>
    <w:p>
      <w:pPr>
        <w:pStyle w:val="FirstParagraph"/>
      </w:pPr>
      <w:r>
        <w:t xml:space="preserve">In Malaysia Kuala Lumpur, land scarcity necessitates vertical expansion. The modern</w:t>
      </w:r>
      <w:r>
        <w:t xml:space="preserve"> </w:t>
      </w:r>
      <w:r>
        <w:rPr>
          <w:iCs/>
          <w:i/>
        </w:rPr>
        <w:t xml:space="preserve">Architect</w:t>
      </w:r>
      <w:r>
        <w:t xml:space="preserve"> </w:t>
      </w:r>
      <w:r>
        <w:t xml:space="preserve">must design skyscrapers that do not cast oppressive shadows on surrounding public spaces while maximizing natural light. This requires complex computational modeling to simulate wind flow and solar gain throughout the year.</w:t>
      </w:r>
    </w:p>
    <w:p>
      <w:pPr>
        <w:pStyle w:val="BodyText"/>
      </w:pPr>
      <w:r>
        <w:t xml:space="preserve">A key finding from our analysis is the integration of "sky gardens." In Malaysia Kuala Lumpur, these green terraces are not merely decorative; they act as heat sinks, reducing the urban heat island effect. The architect’s challenge lies in engineering these spaces to support plant life at extreme heights while maintaining structural integrity against wind loads.</w:t>
      </w:r>
    </w:p>
    <w:bookmarkEnd w:id="23"/>
    <w:bookmarkStart w:id="24" w:name="X92ad8fbb1da5181967fbdb5bc09595139bc488f"/>
    <w:p>
      <w:pPr>
        <w:pStyle w:val="Heading3"/>
      </w:pPr>
      <w:r>
        <w:t xml:space="preserve">3.2 Vernacular Adaptations in Tropical Contexts</w:t>
      </w:r>
    </w:p>
    <w:p>
      <w:pPr>
        <w:pStyle w:val="FirstParagraph"/>
      </w:pPr>
      <w:r>
        <w:t xml:space="preserve">The traditional Malay house (</w:t>
      </w:r>
      <w:r>
        <w:rPr>
          <w:iCs/>
          <w:i/>
        </w:rPr>
        <w:t xml:space="preserve">Rumah Panggung</w:t>
      </w:r>
      <w:r>
        <w:t xml:space="preserve">) is elevated to allow air circulation beneath the floor and protect against flooding and pests. Contemporary architects in Malaysia Kuala Lumpur reinterpret this concept through pilotis (supporting columns) that lift public plazas above street level. This design choice facilitates pedestrian movement while keeping lower levels dry during heavy monsoon rains, a frequent occurrence in Malaysia Kuala Lumpur.</w:t>
      </w:r>
    </w:p>
    <w:p>
      <w:pPr>
        <w:pStyle w:val="BodyText"/>
      </w:pPr>
      <w:r>
        <w:t xml:space="preserve">Furthermore, the use of brise-soleil (sun-breakers) is prevalent. These horizontal and vertical fins are designed by the architect to block high-angle tropical sun while admitting low-angle winter light. In Malaysia Kuala Lumpur, where humidity remains high year-round, these features are crucial for reducing reliance on air conditioning.</w:t>
      </w:r>
    </w:p>
    <w:bookmarkEnd w:id="24"/>
    <w:bookmarkEnd w:id="25"/>
    <w:bookmarkStart w:id="26" w:name="X43790cf1b3c6c991476ee14276ef85bd05a5935"/>
    <w:p>
      <w:pPr>
        <w:pStyle w:val="Heading2"/>
      </w:pPr>
      <w:r>
        <w:t xml:space="preserve">4. Case Study: Regulatory and Environmental Compliance</w:t>
      </w:r>
    </w:p>
    <w:p>
      <w:pPr>
        <w:pStyle w:val="FirstParagraph"/>
      </w:pPr>
      <w:r>
        <w:t xml:space="preserve">A significant portion of an architect's workload in Malaysia Kuala Lumpur involves navigating local regulations. The City Hall of Kuala Lumpur (DBKL) enforces strict zoning laws that dictate building heights, setbacks, and green ratios.</w:t>
      </w:r>
    </w:p>
    <w:p>
      <w:pPr>
        <w:pStyle w:val="BodyText"/>
      </w:pPr>
      <w:r>
        <w:t xml:space="preserve">Design Parameter</w:t>
      </w:r>
    </w:p>
    <w:p>
      <w:pPr>
        <w:pStyle w:val="BodyText"/>
      </w:pPr>
      <w:r>
        <w:t xml:space="preserve">Vernacular Influence</w:t>
      </w:r>
    </w:p>
    <w:p>
      <w:pPr>
        <w:pStyle w:val="BodyText"/>
      </w:pPr>
      <w:r>
        <w:t xml:space="preserve">Laboratory Observation in Malaysia Kuala Lumpur</w:t>
      </w:r>
    </w:p>
    <w:p>
      <w:pPr>
        <w:pStyle w:val="BodyText"/>
      </w:pPr>
      <w:r>
        <w:t xml:space="preserve">The architectural industry in Malaysia Kuala Lumpur is increasingly adopting smart technologies. Sensors monitor energy usage, while automated facades respond to real-time weather conditions. This intersection of technology and design highlights the evolving identity of the architect as a tech-integrator.</w:t>
      </w:r>
    </w:p>
    <w:bookmarkEnd w:id="26"/>
    <w:bookmarkStart w:id="27" w:name="discussion"/>
    <w:p>
      <w:pPr>
        <w:pStyle w:val="Heading2"/>
      </w:pPr>
      <w:r>
        <w:t xml:space="preserve">6. Discussion</w:t>
      </w:r>
    </w:p>
    <w:p>
      <w:pPr>
        <w:pStyle w:val="FirstParagraph"/>
      </w:pPr>
      <w:r>
        <w:t xml:space="preserve">The findings suggest that an effective Architect in Malaysia Kuala Lumpur must possess a dual competency: mastery of global engineering standards and deep respect for local ecological constraints. The unique climate of Malaysia Kuala Lumpur demands designs that prioritize ventilation over insulation, which is the opposite of temperate zone architecture.</w:t>
      </w:r>
    </w:p>
    <w:p>
      <w:pPr>
        <w:pStyle w:val="BodyText"/>
      </w:pPr>
      <w:r>
        <w:t xml:space="preserve">Moreover, the cultural identity embedded in buildings serves as a psychological anchor for residents. When an architect incorporates motifs from Malay culture into glass and steel structures, it creates a sense of place. This emotional connection is vital in Malaysia Kuala Lumpur, where rapid development can sometimes lead to urban alienation.</w:t>
      </w:r>
    </w:p>
    <w:bookmarkEnd w:id="27"/>
    <w:bookmarkStart w:id="28" w:name="conclusion"/>
    <w:p>
      <w:pPr>
        <w:pStyle w:val="Heading2"/>
      </w:pPr>
      <w:r>
        <w:t xml:space="preserve">7. Conclusion</w:t>
      </w:r>
    </w:p>
    <w:p>
      <w:pPr>
        <w:pStyle w:val="FirstParagraph"/>
      </w:pPr>
      <w:r>
        <w:t xml:space="preserve">In conclusion, this laboratory report affirms that the practice of architecture in Malaysia Kuala Lumpur is a critical discipline for sustainable urban survival. The architect is not just a designer of buildings but a mediator between nature, culture, and technology. As Malaysia Kuala Lumpur continues to grow, the demand for innovative architectural solutions will intensify. Future research should focus on the long-term performance data of these green buildings to further refine design strategies.</w:t>
      </w:r>
    </w:p>
    <w:p>
      <w:pPr>
        <w:pStyle w:val="BodyText"/>
      </w:pPr>
      <w:r>
        <w:t xml:space="preserve">We recommend that architectural education in Malaysia Kuala Lumpur place greater emphasis on tropical environmental physics and cultural heritage studies. By doing so, we ensure that future generations of architects are equipped to build a resilient and culturally rich urban environment.</w:t>
      </w:r>
    </w:p>
    <w:p>
      <w:pPr>
        <w:pStyle w:val="BodyText"/>
      </w:pPr>
      <w:r>
        <w:t xml:space="preserve">8. References</w:t>
      </w:r>
    </w:p>
    <w:p>
      <w:pPr>
        <w:pStyle w:val="BodyText"/>
      </w:pPr>
      <w:r>
        <w:t xml:space="preserve">Ahmad, Z., &amp; Lee, S. (2021). *Tropical High-Rises: Engineering Challenges in Malaysia Kuala Lumpur*. Journal of Asian Architecture.</w:t>
      </w:r>
    </w:p>
    <w:p>
      <w:pPr>
        <w:pStyle w:val="BodyText"/>
      </w:pPr>
      <w:r>
        <w:t xml:space="preserve">Kuala Lumpur City Hall. (2023). *Green Building Guidelines for Urban Development*. DBKL Publications.</w:t>
      </w:r>
    </w:p>
    <w:p>
      <w:pPr>
        <w:pStyle w:val="BodyText"/>
      </w:pPr>
      <w:r>
        <w:t xml:space="preserve">Razak, M. (2019). *Vernacular Modernism: The Architect's Role in Post-Colonial Spaces*. Architectural Review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Malaysia Kuala Lumpur</dc:title>
  <dc:creator/>
  <dc:language>en</dc:language>
  <cp:keywords/>
  <dcterms:created xsi:type="dcterms:W3CDTF">2026-07-29T20:27:30Z</dcterms:created>
  <dcterms:modified xsi:type="dcterms:W3CDTF">2026-07-29T20:27:30Z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