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Singapore</w:t>
      </w:r>
    </w:p>
    <w:p>
      <w:pPr>
        <w:pStyle w:val="FirstParagraph"/>
      </w:pPr>
      <w:r>
        <w:rPr>
          <w:bCs/>
          <w:b/>
        </w:rPr>
        <w:t xml:space="preserve">Date:</w:t>
      </w:r>
      <w:r>
        <w:t xml:space="preserve"> </w:t>
      </w:r>
      <w:r>
        <w:t xml:space="preserve">May 24, 2024</w:t>
      </w:r>
      <w:r>
        <w:br/>
      </w:r>
      <w:r>
        <w:rPr>
          <w:bCs/>
          <w:b/>
        </w:rPr>
        <w:t xml:space="preserve">To:</w:t>
      </w:r>
      <w:r>
        <w:t xml:space="preserve"> </w:t>
      </w:r>
      <w:r>
        <w:t xml:space="preserve">Urban Planning Committee, Singapore</w:t>
      </w:r>
      <w:r>
        <w:br/>
      </w:r>
      <w:r>
        <w:t xml:space="preserve">Sustainable Development Lab Team</w:t>
      </w:r>
      <w:r>
        <w:br/>
      </w:r>
      <w:r>
        <w:br/>
      </w:r>
      <w:r>
        <w:br/>
      </w:r>
      <w:r>
        <w:br/>
      </w:r>
      <w:r>
        <w:br/>
      </w:r>
    </w:p>
    <w:bookmarkStart w:id="26" w:name="Xebfda44a06bbeeadfdcecfb4196739772ecf2ab"/>
    <w:p>
      <w:pPr>
        <w:pStyle w:val="Heading1"/>
      </w:pPr>
      <w:r>
        <w:t xml:space="preserve">Laboratory Analysis Report: The Evolving Role of the Architect in Modern Singapore</w:t>
      </w:r>
    </w:p>
    <w:bookmarkStart w:id="20" w:name="executive-summary"/>
    <w:p>
      <w:pPr>
        <w:pStyle w:val="Heading2"/>
      </w:pPr>
      <w:r>
        <w:t xml:space="preserve">1.0 Executive Summary</w:t>
      </w:r>
    </w:p>
    <w:p>
      <w:pPr>
        <w:pStyle w:val="FirstParagraph"/>
      </w:pPr>
      <w:r>
        <w:t xml:space="preserve">This Lab Report serves as a comprehensive examination of the professional and technical responsibilities inherent to an architect practicing within the unique environmental, regulatory, and cultural context of Singapore. The primary objective is to evaluate how an architect must adapt their methodologies to address the specific challenges posed by the tropical climate, high-density urbanization, and stringent sustainability mandates characteristic of Singapore. As a nation striving for ecological resilience while maintaining rapid economic growth, Singapore presents a distinct laboratory environment where architectural practice is not merely an aesthetic pursuit but a critical component of national survival and social cohesion.</w:t>
      </w:r>
    </w:p>
    <w:p>
      <w:pPr>
        <w:pStyle w:val="BodyText"/>
      </w:pPr>
      <w:r>
        <w:t xml:space="preserve">The findings indicate that an architect in this region must function as more than a designer; they must act as a technical integrator, environmental strategist, and community advocate. The report details the necessity of integrating advanced green technologies, navigating the complex statutory requirements set by local authorities such as the Urban Redevelopment Authority (URA) and Building and Construction Authority (BCA), and employing biophilic design principles that are native to Singapore’s biodiversity.</w:t>
      </w:r>
    </w:p>
    <w:bookmarkEnd w:id="20"/>
    <w:bookmarkStart w:id="21" w:name="Xacd45a0024596f7c5ebcfba1690879c254204a4"/>
    <w:p>
      <w:pPr>
        <w:pStyle w:val="Heading2"/>
      </w:pPr>
      <w:r>
        <w:t xml:space="preserve">2.0 Introduction: The Context of Practice in Singapore</w:t>
      </w:r>
    </w:p>
    <w:p>
      <w:pPr>
        <w:pStyle w:val="FirstParagraph"/>
      </w:pPr>
      <w:r>
        <w:t xml:space="preserve">Singapore, often referred to as a "City in a Garden," presents a paradoxical challenge for the architectural profession. On one hand, it is one of the most densely populated cities on Earth; on the other hand, it maintains lush greenery and extensive park networks. For an architect operating in this space, the mandate extends beyond shelter and structure to encompass ecological stewardship. The concept of "biophilic design" has moved from a niche trend to a regulatory expectation in Singapore.</w:t>
      </w:r>
    </w:p>
    <w:p>
      <w:pPr>
        <w:pStyle w:val="BodyText"/>
      </w:pPr>
      <w:r>
        <w:t xml:space="preserve">An architect here must understand that every square meter of land is highly valuable. Consequently, the vertical expansion of urban space is inevitable. This verticality requires an architect to possess specialized knowledge in structural engineering that can support heavy green loads, such as sky gardens and rooftop farms. The role of the architect thus expands into landscape architecture and civil engineering coordination, requiring a multidisciplinary approach from the earliest stages of conceptualization.</w:t>
      </w:r>
    </w:p>
    <w:bookmarkEnd w:id="21"/>
    <w:bookmarkStart w:id="22" w:name="X277edaae6730541a5315ca21f847bf9a5e7460e"/>
    <w:p>
      <w:pPr>
        <w:pStyle w:val="Heading2"/>
      </w:pPr>
      <w:r>
        <w:t xml:space="preserve">3.0 Methodology: Environmental Response Strategies</w:t>
      </w:r>
    </w:p>
    <w:p>
      <w:pPr>
        <w:pStyle w:val="FirstParagraph"/>
      </w:pPr>
      <w:r>
        <w:t xml:space="preserve">In analyzing the workflow of an architect in Singapore, we observe a heavy reliance on computational fluid dynamics (CFD) and solar radiation analysis tools. Unlike architects in temperate climates who may focus primarily on heat retention, an architect in Singapore must prioritize passive cooling strategies to combat the intense tropical heat and high humidity year-round.</w:t>
      </w:r>
    </w:p>
    <w:p>
      <w:pPr>
        <w:pStyle w:val="BodyText"/>
      </w:pPr>
      <w:r>
        <w:t xml:space="preserve">The report identifies several key strategies employed by successful architectural practices in this region:</w:t>
      </w:r>
    </w:p>
    <w:p>
      <w:pPr>
        <w:numPr>
          <w:ilvl w:val="0"/>
          <w:numId w:val="1001"/>
        </w:numPr>
        <w:pStyle w:val="Compact"/>
      </w:pPr>
      <w:r>
        <w:rPr>
          <w:bCs/>
          <w:b/>
        </w:rPr>
        <w:t xml:space="preserve">Natural Ventilation Optimization:</w:t>
      </w:r>
      <w:r>
        <w:t xml:space="preserve">An architect must design building forms that facilitate cross-ventilation. This involves orienting buildings to catch prevailing sea breezes and designing floor plates with adequate open spaces to allow airflow through interior rooms.</w:t>
      </w:r>
    </w:p>
    <w:p>
      <w:pPr>
        <w:numPr>
          <w:ilvl w:val="0"/>
          <w:numId w:val="1001"/>
        </w:numPr>
        <w:pStyle w:val="Compact"/>
      </w:pPr>
      <w:r>
        <w:br/>
      </w:r>
      <w:r>
        <w:t xml:space="preserve">Shading Devices: The use of brise-soleil, deep overhangs, and vertical fins is critical. An architect must calculate solar angles precisely to block direct sunlight during peak hours while allowing diffused light into interiors.</w:t>
      </w:r>
    </w:p>
    <w:bookmarkEnd w:id="22"/>
    <w:bookmarkStart w:id="23" w:name="X2129733cf8dbedc2d17b6053934ab362c74216f"/>
    <w:p>
      <w:pPr>
        <w:pStyle w:val="Heading2"/>
      </w:pPr>
      <w:r>
        <w:t xml:space="preserve">4.0 Regulatory Framework and Sustainability Standards</w:t>
      </w:r>
    </w:p>
    <w:p>
      <w:pPr>
        <w:pStyle w:val="FirstParagraph"/>
      </w:pPr>
      <w:r>
        <w:t xml:space="preserve">A significant portion of an architect's workload in Singapore is dedicated to compliance with the Green Mark Scheme, administered by the BCA. This scheme provides a framework for measuring environmental sustainability in buildings. For an architect, achieving high Green Mark certification is not optional for many commercial projects; it is a market requirement.</w:t>
      </w:r>
    </w:p>
    <w:p>
      <w:pPr>
        <w:pStyle w:val="BodyText"/>
      </w:pPr>
      <w:r>
        <w:t xml:space="preserve">The architect must integrate energy-efficient systems, such as solar photovoltaic panels and water recycling systems, into the architectural fabric. This requires early collaboration with MEP (Mechanical, Electrical, and Plumbing) engineers. The report notes that architects who fail to account for these technical requirements in the initial design phase often face significant rework and cost overruns.</w:t>
      </w:r>
    </w:p>
    <w:p>
      <w:pPr>
        <w:pStyle w:val="BodyText"/>
      </w:pPr>
      <w:r>
        <w:t xml:space="preserve">Furthermore, the URA’s Master Plan dictates land use and building height restrictions. An architect must navigate these zoning laws creatively, maximizing Floor Area Ratio (FAR) while adhering to setback rules. This regulatory dance requires a deep understanding of local policy, making the architect also a policy navigator.</w:t>
      </w:r>
    </w:p>
    <w:bookmarkEnd w:id="23"/>
    <w:bookmarkStart w:id="24" w:name="socio-cultural-considerations"/>
    <w:p>
      <w:pPr>
        <w:pStyle w:val="Heading2"/>
      </w:pPr>
      <w:r>
        <w:t xml:space="preserve">5.0 Socio-Cultural Considerations</w:t>
      </w:r>
    </w:p>
    <w:p>
      <w:pPr>
        <w:pStyle w:val="FirstParagraph"/>
      </w:pPr>
      <w:r>
        <w:t xml:space="preserve">Singapore is a multi-ethnic society with diverse cultural needs. An architect must design spaces that respect these differences while fostering community integration. Public housing, or HDB flats, houses the majority of Singapore’s population and serves as a primary testing ground for social architectural theories.</w:t>
      </w:r>
    </w:p>
    <w:p>
      <w:pPr>
        <w:pStyle w:val="BodyText"/>
      </w:pPr>
      <w:r>
        <w:t xml:space="preserve">An architect working on public housing projects must design communal spaces that encourage interaction among different ethnic groups. This includes designing void decks (open ground floors) that serve as community hubs, markets, and recreational areas. The sensitivity of an architect to these social dynamics can significantly impact the livability and success of a development.</w:t>
      </w:r>
    </w:p>
    <w:bookmarkEnd w:id="24"/>
    <w:bookmarkStart w:id="25" w:name="conclusion-the-future-ready-architect"/>
    <w:p>
      <w:pPr>
        <w:pStyle w:val="Heading2"/>
      </w:pPr>
      <w:r>
        <w:t xml:space="preserve">6.0 Conclusion: The Future-Ready Architect</w:t>
      </w:r>
    </w:p>
    <w:p>
      <w:pPr>
        <w:pStyle w:val="FirstParagraph"/>
      </w:pPr>
      <w:r>
        <w:t xml:space="preserve">In conclusion, the role of an architect in Singapore is multifaceted and demanding. It requires a synthesis of artistic vision, technical precision, environmental awareness, and cultural sensitivity. As Singapore moves towards its "Green Plan 2030" initiative, the expectations placed upon the architectural profession will only intensify.</w:t>
      </w:r>
    </w:p>
    <w:p>
      <w:pPr>
        <w:pStyle w:val="BodyText"/>
      </w:pPr>
      <w:r>
        <w:t xml:space="preserve">The findings of this Lab Report suggest that future architects must be lifelong learners who are adept at leveraging technology for sustainability. They must view Singapore not just as a location for construction, but as a complex ecosystem where architecture plays a pivotal role in defining the quality of life and environmental health. By embracing these challenges, an architect can contribute meaningfully to the legacy of Singapore as a model city-state that harmonizes urban development with nature.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Architect in Singapore</dc:title>
  <dc:creator/>
  <dc:language>en</dc:language>
  <cp:keywords/>
  <dcterms:created xsi:type="dcterms:W3CDTF">2026-07-29T09:54:26Z</dcterms:created>
  <dcterms:modified xsi:type="dcterms:W3CDTF">2026-07-29T09:54:26Z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