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Architectural</w:t>
      </w:r>
      <w:r>
        <w:t xml:space="preserve"> </w:t>
      </w:r>
      <w:r>
        <w:t xml:space="preserve">Analysis</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Region</w:t>
      </w:r>
    </w:p>
    <w:bookmarkStart w:id="31" w:name="X6e71a96b2e0468f673e6faf7577af5686b74326"/>
    <w:p>
      <w:pPr>
        <w:pStyle w:val="Heading1"/>
      </w:pPr>
      <w:r>
        <w:t xml:space="preserve">Laboratory Report: Architectural Dynamics in United States Miami</w:t>
      </w:r>
    </w:p>
    <w:p>
      <w:pPr>
        <w:pStyle w:val="FirstParagraph"/>
      </w:pPr>
      <w:r>
        <w:rPr>
          <w:bCs/>
          <w:b/>
        </w:rPr>
        <w:t xml:space="preserve">Date:</w:t>
      </w:r>
      <w:r>
        <w:br/>
      </w:r>
      <w:r>
        <w:t xml:space="preserve">October 24, 2023</w:t>
      </w:r>
      <w:r>
        <w:br/>
      </w:r>
      <w:r>
        <w:br/>
      </w:r>
      <w:r>
        <w:rPr>
          <w:bCs/>
          <w:b/>
        </w:rPr>
        <w:t xml:space="preserve">Subject:</w:t>
      </w:r>
      <w:r>
        <w:br/>
      </w:r>
      <w:r>
        <w:t xml:space="preserve">Sustainable and Resilient Design Strategies</w:t>
      </w:r>
      <w:r>
        <w:br/>
      </w:r>
      <w:r>
        <w:br/>
      </w:r>
      <w:r>
        <w:rPr>
          <w:bCs/>
          <w:b/>
        </w:rPr>
        <w:t xml:space="preserve">Location Focus:</w:t>
      </w:r>
      <w:r>
        <w:br/>
      </w:r>
      <w:r>
        <w:t xml:space="preserve">Miami-Dade County, Florida, United States</w:t>
      </w:r>
    </w:p>
    <w:p>
      <w:pPr>
        <w:pStyle w:val="BodyText"/>
      </w:pPr>
      <w:r>
        <w:rPr>
          <w:bCs/>
          <w:b/>
        </w:rPr>
        <w:t xml:space="preserve">Prepared For:</w:t>
      </w:r>
      <w:r>
        <w:br/>
      </w:r>
      <w:r>
        <w:t xml:space="preserve">Federal Emergency Management Agency (FEMA)</w:t>
      </w:r>
      <w:r>
        <w:br/>
      </w:r>
      <w:r>
        <w:br/>
      </w:r>
      <w:r>
        <w:rPr>
          <w:bCs/>
          <w:b/>
        </w:rPr>
        <w:t xml:space="preserve">Prepared By:</w:t>
      </w:r>
      <w:r>
        <w:br/>
      </w:r>
      <w:r>
        <w:t xml:space="preserve">Spatial Analysis Division</w:t>
      </w:r>
      <w:r>
        <w:br/>
      </w:r>
      <w:r>
        <w:br/>
      </w:r>
      <w:r>
        <w:rPr>
          <w:bCs/>
          <w:b/>
        </w:rPr>
        <w:t xml:space="preserve">Status:</w:t>
      </w:r>
      <w:r>
        <w:br/>
      </w:r>
      <w:r>
        <w:t xml:space="preserve">Draft for Review</w:t>
      </w:r>
    </w:p>
    <w:bookmarkStart w:id="20" w:name="executive-summary"/>
    <w:p>
      <w:pPr>
        <w:pStyle w:val="Heading2"/>
      </w:pPr>
      <w:r>
        <w:t xml:space="preserve">1.0 Executive Summary</w:t>
      </w:r>
    </w:p>
    <w:p>
      <w:pPr>
        <w:pStyle w:val="FirstParagraph"/>
      </w:pPr>
      <w:r>
        <w:t xml:space="preserve">This laboratory report provides a comprehensive analysis of the architectural interventions required in the United States Miami metropolitan area. As coastal cities face unprecedented challenges due to climate change, rising sea levels, and intensifying hurricane activity, the role of the Architect has evolved from aesthetic creator to critical engineer of resilience. This document examines how an Architect must adapt traditional design principles to meet the specific environmental and regulatory demands of South Florida. The findings suggest that a hybrid approach combining high-tech material science with vernacular architectural history is essential for future urban development in this vulnerable region.</w:t>
      </w:r>
    </w:p>
    <w:bookmarkEnd w:id="20"/>
    <w:bookmarkStart w:id="21" w:name="introduction"/>
    <w:p>
      <w:pPr>
        <w:pStyle w:val="Heading2"/>
      </w:pPr>
      <w:r>
        <w:t xml:space="preserve">2.0 Introduction</w:t>
      </w:r>
    </w:p>
    <w:p>
      <w:pPr>
        <w:pStyle w:val="FirstParagraph"/>
      </w:pPr>
      <w:r>
        <w:t xml:space="preserve">The city of Miami, located within the United States Miami conurbation, represents one of the most architecturally significant and geographically vulnerable areas in North America. With a dense concentration of high-rise residential towers along the Atlantic coast and a sprawling low-density infrastructure inland, the region requires specialized architectural strategies. The primary objective of this study is to define the parameters under which an Architect operates when designing for extreme weather events and environmental degradation.</w:t>
      </w:r>
    </w:p>
    <w:p>
      <w:pPr>
        <w:pStyle w:val="BodyText"/>
      </w:pPr>
      <w:r>
        <w:t xml:space="preserve">Miami’s unique position as a global gateway necessitates that its skyline remains both iconic and functional. However, traditional modernism, which dominated the latter half of the 20th century in Miami Beach, often prioritized glass facades over energy efficiency and storm resilience. This report argues that the contemporary Architect must pivot toward "adaptive design," where structures are not merely built to withstand storms but are designed to interact dynamically with their changing environment.</w:t>
      </w:r>
    </w:p>
    <w:bookmarkEnd w:id="21"/>
    <w:bookmarkStart w:id="22" w:name="environmental-context-and-challenges"/>
    <w:p>
      <w:pPr>
        <w:pStyle w:val="Heading2"/>
      </w:pPr>
      <w:r>
        <w:t xml:space="preserve">3.0 Environmental Context and Challenges</w:t>
      </w:r>
    </w:p>
    <w:p>
      <w:pPr>
        <w:pStyle w:val="FirstParagraph"/>
      </w:pPr>
      <w:r>
        <w:t xml:space="preserve">The environmental data collected for this laboratory analysis highlights three critical factors influencing architectural decisions in United States Miami:</w:t>
      </w:r>
    </w:p>
    <w:p>
      <w:pPr>
        <w:numPr>
          <w:ilvl w:val="0"/>
          <w:numId w:val="1001"/>
        </w:numPr>
        <w:pStyle w:val="Compact"/>
      </w:pPr>
      <w:r>
        <w:rPr>
          <w:bCs/>
          <w:b/>
        </w:rPr>
        <w:t xml:space="preserve">Hurricane Frequency and Intensity:</w:t>
      </w:r>
      <w:r>
        <w:t xml:space="preserve"> </w:t>
      </w:r>
      <w:r>
        <w:t xml:space="preserve">The region is prone to Category 4 and 5 hurricanes. Wind loads are a primary structural consideration. An Architect must collaborate closely with structural engineers to ensure that building envelopes can resist wind pressures exceeding standard national codes.</w:t>
      </w:r>
    </w:p>
    <w:p>
      <w:pPr>
        <w:numPr>
          <w:ilvl w:val="0"/>
          <w:numId w:val="1001"/>
        </w:numPr>
        <w:pStyle w:val="Compact"/>
      </w:pPr>
      <w:r>
        <w:rPr>
          <w:bCs/>
          <w:b/>
        </w:rPr>
        <w:t xml:space="preserve">Rising Sea Levels:</w:t>
      </w:r>
      <w:r>
        <w:t xml:space="preserve"> </w:t>
      </w:r>
      <w:r>
        <w:t xml:space="preserve">Projections indicate that sea levels could rise by up to two feet by 2060. This necessitates elevated foundations, flood-resistant materials, and the integration of natural water management systems such as bioswales and permeable pavements.</w:t>
      </w:r>
    </w:p>
    <w:p>
      <w:pPr>
        <w:numPr>
          <w:ilvl w:val="0"/>
          <w:numId w:val="1001"/>
        </w:numPr>
        <w:pStyle w:val="Compact"/>
      </w:pPr>
      <w:r>
        <w:rPr>
          <w:bCs/>
          <w:b/>
        </w:rPr>
        <w:t xml:space="preserve">Saltwater Corrosion:</w:t>
      </w:r>
      <w:r>
        <w:t xml:space="preserve"> </w:t>
      </w:r>
      <w:r>
        <w:t xml:space="preserve">The proximity to the ocean accelerates the degradation of metal components. The Architect must specify corrosion-resistant alloys or protective coatings for all structural elements, particularly in coastal zones.</w:t>
      </w:r>
    </w:p>
    <w:bookmarkEnd w:id="22"/>
    <w:bookmarkStart w:id="26" w:name="methodology-the-role-of-the-architect"/>
    <w:p>
      <w:pPr>
        <w:pStyle w:val="Heading2"/>
      </w:pPr>
      <w:r>
        <w:t xml:space="preserve">4.0 Methodology: The Role of the Architect</w:t>
      </w:r>
    </w:p>
    <w:p>
      <w:pPr>
        <w:pStyle w:val="FirstParagraph"/>
      </w:pPr>
      <w:r>
        <w:t xml:space="preserve">In this laboratory setting, we analyze the workflow of an Architect specializing in tropical resilience. The process is divided into three phases:</w:t>
      </w:r>
    </w:p>
    <w:bookmarkStart w:id="23" w:name="site-analysis-and-micro-climatology"/>
    <w:p>
      <w:pPr>
        <w:pStyle w:val="Heading3"/>
      </w:pPr>
      <w:r>
        <w:t xml:space="preserve">4.1 Site Analysis and Micro-Climatology</w:t>
      </w:r>
    </w:p>
    <w:p>
      <w:pPr>
        <w:pStyle w:val="FirstParagraph"/>
      </w:pPr>
      <w:r>
        <w:t xml:space="preserve">The initial phase requires the Architect to conduct rigorous site analysis. In United States Miami, this involves studying historical flood maps, soil composition (noting the prevalence of porous limestone), and prevailing wind patterns. The Architect uses this data to orient buildings for optimal natural ventilation, reducing reliance on air conditioning systems which are energy-intensive in humid climates.</w:t>
      </w:r>
    </w:p>
    <w:bookmarkEnd w:id="23"/>
    <w:bookmarkStart w:id="24" w:name="material-selection"/>
    <w:p>
      <w:pPr>
        <w:pStyle w:val="Heading3"/>
      </w:pPr>
      <w:r>
        <w:t xml:space="preserve">4.2 Material Selection</w:t>
      </w:r>
    </w:p>
    <w:p>
      <w:pPr>
        <w:pStyle w:val="FirstParagraph"/>
      </w:pPr>
      <w:r>
        <w:t xml:space="preserve">The selection of materials is critical. This laboratory report recommends the use of:</w:t>
      </w:r>
    </w:p>
    <w:p>
      <w:pPr>
        <w:numPr>
          <w:ilvl w:val="0"/>
          <w:numId w:val="1002"/>
        </w:numPr>
        <w:pStyle w:val="Compact"/>
      </w:pPr>
      <w:r>
        <w:rPr>
          <w:bCs/>
          <w:b/>
        </w:rPr>
        <w:t xml:space="preserve">Fiber-Reinforced Polymer (FRP):</w:t>
      </w:r>
      <w:r>
        <w:t xml:space="preserve"> </w:t>
      </w:r>
      <w:r>
        <w:t xml:space="preserve">For window shutters and facades, offering high strength-to-weight ratios and resistance to salt spray.</w:t>
      </w:r>
    </w:p>
    <w:p>
      <w:pPr>
        <w:numPr>
          <w:ilvl w:val="0"/>
          <w:numId w:val="1002"/>
        </w:numPr>
        <w:pStyle w:val="Compact"/>
      </w:pPr>
      <w:r>
        <w:rPr>
          <w:bCs/>
          <w:b/>
        </w:rPr>
        <w:t xml:space="preserve">Pour-in-Place Concrete with High-Performance Admixtures:</w:t>
      </w:r>
      <w:r>
        <w:t xml:space="preserve"> </w:t>
      </w:r>
      <w:r>
        <w:t xml:space="preserve">To prevent water infiltration during storm surges.</w:t>
      </w:r>
    </w:p>
    <w:p>
      <w:pPr>
        <w:numPr>
          <w:ilvl w:val="0"/>
          <w:numId w:val="1002"/>
        </w:numPr>
        <w:pStyle w:val="Compact"/>
      </w:pPr>
      <w:r>
        <w:rPr>
          <w:bCs/>
          <w:b/>
        </w:rPr>
        <w:t xml:space="preserve">Tropical Hardwoods or Composite Materials:</w:t>
      </w:r>
      <w:r>
        <w:t xml:space="preserve"> </w:t>
      </w:r>
      <w:r>
        <w:t xml:space="preserve">For decking and exterior cladding, ensuring durability against rot and insect damage common in humid environments.</w:t>
      </w:r>
    </w:p>
    <w:p>
      <w:pPr>
        <w:pStyle w:val="FirstParagraph"/>
      </w:pPr>
      <w:r>
        <w:t xml:space="preserve">The Architect must verify that all selected materials meet the Miami-Dade Product Control standards, which are among the strictest building codes in the United States.</w:t>
      </w:r>
    </w:p>
    <w:bookmarkEnd w:id="24"/>
    <w:bookmarkStart w:id="25" w:name="structural-integration"/>
    <w:p>
      <w:pPr>
        <w:pStyle w:val="Heading3"/>
      </w:pPr>
      <w:r>
        <w:t xml:space="preserve">4.3 Structural Integration</w:t>
      </w:r>
    </w:p>
    <w:p>
      <w:pPr>
        <w:pStyle w:val="FirstParagraph"/>
      </w:pPr>
      <w:r>
        <w:t xml:space="preserve">The design phase focuses on creating a monolithic structural system. Unlike traditional wood-frame construction common elsewhere in the United States, Miami high-rises utilize reinforced concrete cores. The Architect must design these cores to act as shear walls, providing stability against lateral wind forces.</w:t>
      </w:r>
    </w:p>
    <w:bookmarkEnd w:id="25"/>
    <w:bookmarkEnd w:id="26"/>
    <w:bookmarkStart w:id="27" w:name="case-study-analysis-vertical-resilience"/>
    <w:p>
      <w:pPr>
        <w:pStyle w:val="Heading2"/>
      </w:pPr>
      <w:r>
        <w:t xml:space="preserve">5.0 Case Study Analysis: Vertical Resilience</w:t>
      </w:r>
    </w:p>
    <w:p>
      <w:pPr>
        <w:pStyle w:val="FirstParagraph"/>
      </w:pPr>
      <w:r>
        <w:t xml:space="preserve">To illustrate the practical application of these principles, we examine a hypothetical residential tower project in South Beach. The project demonstrates how an Architect can integrate resilience without sacrificing aesthetic appeal. Key features include:</w:t>
      </w:r>
    </w:p>
    <w:p>
      <w:pPr>
        <w:numPr>
          <w:ilvl w:val="0"/>
          <w:numId w:val="1003"/>
        </w:numPr>
        <w:pStyle w:val="Compact"/>
      </w:pPr>
      <w:r>
        <w:rPr>
          <w:bCs/>
          <w:b/>
        </w:rPr>
        <w:t xml:space="preserve">Elevated Lobby and Amenities:</w:t>
      </w:r>
      <w:r>
        <w:t xml:space="preserve"> </w:t>
      </w:r>
      <w:r>
        <w:t xml:space="preserve">Placing critical infrastructure 15 feet above the Base Flood Elevation (BFE) to protect against storm surges.</w:t>
      </w:r>
    </w:p>
    <w:p>
      <w:pPr>
        <w:numPr>
          <w:ilvl w:val="0"/>
          <w:numId w:val="1003"/>
        </w:numPr>
        <w:pStyle w:val="Compact"/>
      </w:pPr>
      <w:r>
        <w:rPr>
          <w:bCs/>
          <w:b/>
        </w:rPr>
        <w:t xml:space="preserve">Mitigating Heat Islands:</w:t>
      </w:r>
    </w:p>
    <w:p>
      <w:pPr>
        <w:numPr>
          <w:ilvl w:val="0"/>
          <w:numId w:val="1003"/>
        </w:numPr>
        <w:pStyle w:val="Compact"/>
      </w:pPr>
      <w:r>
        <w:rPr>
          <w:bCs/>
          <w:b/>
        </w:rPr>
        <w:t xml:space="preserve">Dual-Pane Laminated Glass:</w:t>
      </w:r>
      <w:r>
        <w:t xml:space="preserve"> </w:t>
      </w:r>
      <w:r>
        <w:t xml:space="preserve">To protect against debris impact during hurricanes while maintaining transparency and views of the ocean, a commodity highly valued in Miami real estate.</w:t>
      </w:r>
    </w:p>
    <w:bookmarkEnd w:id="27"/>
    <w:bookmarkStart w:id="28" w:name="socio-economic-implications"/>
    <w:p>
      <w:pPr>
        <w:pStyle w:val="Heading2"/>
      </w:pPr>
      <w:r>
        <w:t xml:space="preserve">6.0 Socio-Economic Implications</w:t>
      </w:r>
    </w:p>
    <w:p>
      <w:pPr>
        <w:pStyle w:val="FirstParagraph"/>
      </w:pPr>
      <w:r>
        <w:t xml:space="preserve">The cost of implementing these architectural standards is significant. Insurance premiums in United States Miami have skyrocketed due to risk exposure. Therefore, the Architect has a responsibility to design buildings that are insurable and marketable. Resilient architecture is no longer just a regulatory requirement but an economic necessity. Properties designed by forward-thinking Architects who prioritize longevity and safety will retain value better than those built with outdated techniques.</w:t>
      </w:r>
    </w:p>
    <w:p>
      <w:pPr>
        <w:pStyle w:val="BodyText"/>
      </w:pPr>
      <w:r>
        <w:t xml:space="preserve">Furthermore, this laboratory report notes a cultural shift in Miami. The "Art Deco" heritage of the 1920s and 30s is being preserved but retrofitted with modern technology. This blend of history and innovation allows the city to maintain its unique identity while adapting to future threats.</w:t>
      </w:r>
    </w:p>
    <w:bookmarkEnd w:id="28"/>
    <w:bookmarkStart w:id="29" w:name="conclusion"/>
    <w:p>
      <w:pPr>
        <w:pStyle w:val="Heading2"/>
      </w:pPr>
      <w:r>
        <w:t xml:space="preserve">7.0 Conclusion</w:t>
      </w:r>
    </w:p>
    <w:p>
      <w:pPr>
        <w:pStyle w:val="FirstParagraph"/>
      </w:pPr>
      <w:r>
        <w:t xml:space="preserve">In conclusion, the role of the Architect in United States Miami is fundamentally changing. The traditional scope of practice is expanding to include climate adaptation, hydrological management, and advanced material engineering. This laboratory report demonstrates that successful architectural outcomes in this region depend on a holistic approach that respects local environmental conditions while leveraging technological advancements.</w:t>
      </w:r>
    </w:p>
    <w:p>
      <w:pPr>
        <w:pStyle w:val="BodyText"/>
      </w:pPr>
      <w:r>
        <w:t xml:space="preserve">For the Architect to remain effective in United States Miami, continuous education regarding building codes, material science, and climate modeling is imperative. The buildings of tomorrow must be living systems capable of withstanding the forces of nature while providing safe, sustainable habitats for millions of residents and tourists alike. The integration of resilience into the core philosophy of architectural design is not optional; it is essential for the survival and prosperity of Miami’s urban landscape.</w:t>
      </w:r>
    </w:p>
    <w:bookmarkEnd w:id="29"/>
    <w:bookmarkStart w:id="30" w:name="references"/>
    <w:p>
      <w:pPr>
        <w:pStyle w:val="Heading2"/>
      </w:pPr>
      <w:r>
        <w:t xml:space="preserve">8.0 References</w:t>
      </w:r>
    </w:p>
    <w:p>
      <w:pPr>
        <w:numPr>
          <w:ilvl w:val="0"/>
          <w:numId w:val="1004"/>
        </w:numPr>
        <w:pStyle w:val="Compact"/>
      </w:pPr>
      <w:r>
        <w:t xml:space="preserve">Miami-Dade County Building Code Division. (2023). *Code Requirements for High-Velocity Hurricane Zones*.</w:t>
      </w:r>
    </w:p>
    <w:p>
      <w:pPr>
        <w:numPr>
          <w:ilvl w:val="0"/>
          <w:numId w:val="1004"/>
        </w:numPr>
        <w:pStyle w:val="Compact"/>
      </w:pPr>
      <w:r>
        <w:t xml:space="preserve">National Oceanic and Atmospheric Administration (NOAA). (2023). *Sea Level Rise Technical Report*.</w:t>
      </w:r>
    </w:p>
    <w:p>
      <w:pPr>
        <w:numPr>
          <w:ilvl w:val="0"/>
          <w:numId w:val="1004"/>
        </w:numPr>
        <w:pStyle w:val="Compact"/>
      </w:pPr>
      <w:r>
        <w:t xml:space="preserve">American Institute of Architects (AIA) Florida. (2023). *Designing for Resilience in Coastal Communities*.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Architectural Analysis of the United States Miami Region</dc:title>
  <dc:creator/>
  <dc:language>en</dc:language>
  <cp:keywords/>
  <dcterms:created xsi:type="dcterms:W3CDTF">2026-07-29T09:56:26Z</dcterms:created>
  <dcterms:modified xsi:type="dcterms:W3CDTF">2026-07-29T09:56:26Z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