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Lab</w:t>
      </w:r>
      <w:r>
        <w:t xml:space="preserve"> </w:t>
      </w:r>
      <w:r>
        <w:t xml:space="preserve">Report:</w:t>
      </w:r>
      <w:r>
        <w:t xml:space="preserve"> </w:t>
      </w:r>
      <w:r>
        <w:t xml:space="preserve">Dhaka,</w:t>
      </w:r>
      <w:r>
        <w:t xml:space="preserve"> </w:t>
      </w:r>
      <w:r>
        <w:t xml:space="preserve">Bangladesh</w:t>
      </w:r>
    </w:p>
    <w:p>
      <w:pPr>
        <w:pStyle w:val="FirstParagraph"/>
      </w:pPr>
      <w:r>
        <w:t xml:space="preserve">```html</w:t>
      </w:r>
    </w:p>
    <w:bookmarkStart w:id="36" w:name="Xa5747006302022534e9b56a89e0404c9b448ac8"/>
    <w:p>
      <w:pPr>
        <w:pStyle w:val="Heading1"/>
      </w:pPr>
      <w:r>
        <w:t xml:space="preserve">Auditor Performance and Compliance Lab Report</w:t>
      </w:r>
      <w:r>
        <w:br/>
      </w:r>
      <w:r>
        <w:t xml:space="preserve">Case Study Context: Dhaka, Bangladesh</w:t>
      </w:r>
    </w:p>
    <w:bookmarkStart w:id="20" w:name="abstract"/>
    <w:p>
      <w:pPr>
        <w:pStyle w:val="Heading2"/>
      </w:pPr>
      <w:r>
        <w:t xml:space="preserve">Abstract</w:t>
      </w:r>
    </w:p>
    <w:p>
      <w:pPr>
        <w:pStyle w:val="FirstParagraph"/>
      </w:pPr>
      <w:r>
        <w:t xml:space="preserve">This laboratory report serves as a comprehensive analysis of the functional requirements, operational challenges, and strategic implementations of an</w:t>
      </w:r>
      <w:r>
        <w:t xml:space="preserve"> </w:t>
      </w:r>
      <w:r>
        <w:rPr>
          <w:bCs/>
          <w:b/>
        </w:rPr>
        <w:t xml:space="preserve">Auditor</w:t>
      </w:r>
      <w:r>
        <w:t xml:space="preserve"> </w:t>
      </w:r>
      <w:r>
        <w:t xml:space="preserve">system specifically designed for the dynamic regulatory environment of</w:t>
      </w:r>
      <w:r>
        <w:t xml:space="preserve"> </w:t>
      </w:r>
      <w:r>
        <w:rPr>
          <w:bCs/>
          <w:b/>
        </w:rPr>
        <w:t xml:space="preserve">Bangladesh Dhaka</w:t>
      </w:r>
      <w:r>
        <w:t xml:space="preserve">. As the capital city experiences rapid urbanization and economic expansion, the need for robust audit trails in financial institutions, manufacturing units, and public sector entities has become critical. This document details how an effective auditor framework ensures transparency, compliance with local statutes such as the Bangladesh Bank regulations and Securities and Exchange Commission (SEC) rules, while addressing unique infrastructural realities found in</w:t>
      </w:r>
      <w:r>
        <w:t xml:space="preserve"> </w:t>
      </w:r>
      <w:r>
        <w:rPr>
          <w:bCs/>
          <w:b/>
        </w:rPr>
        <w:t xml:space="preserve">Bangladesh Dhaka</w:t>
      </w:r>
      <w:r>
        <w:t xml:space="preserve">.</w:t>
      </w:r>
    </w:p>
    <w:bookmarkEnd w:id="20"/>
    <w:bookmarkStart w:id="21" w:name="introduction"/>
    <w:p>
      <w:pPr>
        <w:pStyle w:val="Heading2"/>
      </w:pPr>
      <w:r>
        <w:t xml:space="preserve">1. Introduction</w:t>
      </w:r>
    </w:p>
    <w:p>
      <w:pPr>
        <w:pStyle w:val="FirstParagraph"/>
      </w:pPr>
      <w:r>
        <w:t xml:space="preserve">The role of an</w:t>
      </w:r>
      <w:r>
        <w:t xml:space="preserve"> </w:t>
      </w:r>
      <w:r>
        <w:rPr>
          <w:bCs/>
          <w:b/>
        </w:rPr>
        <w:t xml:space="preserve">Auditor</w:t>
      </w:r>
      <w:r>
        <w:t xml:space="preserve"> </w:t>
      </w:r>
      <w:r>
        <w:t xml:space="preserve">extends beyond simple numerical verification; it is the cornerstone of corporate governance and financial integrity. In the context of</w:t>
      </w:r>
      <w:r>
        <w:t xml:space="preserve"> </w:t>
      </w:r>
      <w:r>
        <w:rPr>
          <w:bCs/>
          <w:b/>
        </w:rPr>
        <w:t xml:space="preserve">Bangladesh Dhaka</w:t>
      </w:r>
      <w:r>
        <w:t xml:space="preserve">, where business density is high and regulatory oversight is intensifying, the auditor serves as a vital bridge between organizational management and statutory authorities. This lab report aims to dissect the mechanics of modern auditing practices within this specific geographic and economic locale.</w:t>
      </w:r>
    </w:p>
    <w:p>
      <w:pPr>
        <w:pStyle w:val="BodyText"/>
      </w:pPr>
      <w:r>
        <w:t xml:space="preserve">Dhaka, being the economic hub of Bangladesh, hosts a myriad of industries ranging from Ready-Made Garments (RMG) to banking and telecommunications. The</w:t>
      </w:r>
      <w:r>
        <w:t xml:space="preserve"> </w:t>
      </w:r>
      <w:r>
        <w:rPr>
          <w:bCs/>
          <w:b/>
        </w:rPr>
        <w:t xml:space="preserve">Auditor</w:t>
      </w:r>
      <w:r>
        <w:t xml:space="preserve"> </w:t>
      </w:r>
      <w:r>
        <w:t xml:space="preserve">in this setting must navigate a complex web of local laws, including the Companies Act 1994, the Income Tax Ordinance 1984, and various circulars issued by the National Board of Revenue (NBR). Furthermore, digital transformation initiatives in</w:t>
      </w:r>
      <w:r>
        <w:t xml:space="preserve"> </w:t>
      </w:r>
      <w:r>
        <w:rPr>
          <w:bCs/>
          <w:b/>
        </w:rPr>
        <w:t xml:space="preserve">Bangladesh Dhaka</w:t>
      </w:r>
      <w:r>
        <w:t xml:space="preserve"> </w:t>
      </w:r>
      <w:r>
        <w:t xml:space="preserve">require auditors to possess technical proficiency alongside traditional accounting skills.</w:t>
      </w:r>
    </w:p>
    <w:bookmarkEnd w:id="21"/>
    <w:bookmarkStart w:id="22" w:name="objectives-of-the-audit-lab-simulation"/>
    <w:p>
      <w:pPr>
        <w:pStyle w:val="Heading2"/>
      </w:pPr>
      <w:r>
        <w:t xml:space="preserve">2. Objectives of the Audit Lab Simulation</w:t>
      </w:r>
    </w:p>
    <w:p>
      <w:pPr>
        <w:pStyle w:val="FirstParagraph"/>
      </w:pPr>
      <w:r>
        <w:t xml:space="preserve">The primary objective of this lab report is to simulate and evaluate an auditing workflow tailored for entities operating in</w:t>
      </w:r>
      <w:r>
        <w:t xml:space="preserve"> </w:t>
      </w:r>
      <w:r>
        <w:rPr>
          <w:bCs/>
          <w:b/>
        </w:rPr>
        <w:t xml:space="preserve">Bangladesh Dhaka</w:t>
      </w:r>
      <w:r>
        <w:t xml:space="preserve">. The specific goals include:</w:t>
      </w:r>
    </w:p>
    <w:p>
      <w:pPr>
        <w:numPr>
          <w:ilvl w:val="0"/>
          <w:numId w:val="1001"/>
        </w:numPr>
        <w:pStyle w:val="Compact"/>
      </w:pPr>
      <w:r>
        <w:t xml:space="preserve">Assessing the capability of an</w:t>
      </w:r>
      <w:r>
        <w:t xml:space="preserve"> </w:t>
      </w:r>
      <w:r>
        <w:rPr>
          <w:bCs/>
          <w:b/>
        </w:rPr>
        <w:t xml:space="preserve">Auditor</w:t>
      </w:r>
      <w:r>
        <w:t xml:space="preserve"> </w:t>
      </w:r>
      <w:r>
        <w:t xml:space="preserve">to detect discrepancies in financial reporting under local GAAP (Generally Accepted Accounting Principles) and IFRS standards adopted by Bangladeshi entities.</w:t>
      </w:r>
    </w:p>
    <w:p>
      <w:pPr>
        <w:numPr>
          <w:ilvl w:val="0"/>
          <w:numId w:val="1001"/>
        </w:numPr>
        <w:pStyle w:val="Compact"/>
      </w:pPr>
      <w:r>
        <w:t xml:space="preserve">Evaluating the efficiency of digital audit tools in high-density urban environments like</w:t>
      </w:r>
      <w:r>
        <w:t xml:space="preserve"> </w:t>
      </w:r>
      <w:r>
        <w:rPr>
          <w:bCs/>
          <w:b/>
        </w:rPr>
        <w:t xml:space="preserve">Bangladesh Dhaka</w:t>
      </w:r>
      <w:r>
        <w:t xml:space="preserve">.</w:t>
      </w:r>
    </w:p>
    <w:p>
      <w:pPr>
        <w:numPr>
          <w:ilvl w:val="0"/>
          <w:numId w:val="1001"/>
        </w:numPr>
        <w:pStyle w:val="Compact"/>
      </w:pPr>
      <w:r>
        <w:t xml:space="preserve">Analyzing compliance with anti-money laundering (AML) protocols as mandated by the Financial Intelligence Unit (FIU) of Bangladesh.</w:t>
      </w:r>
    </w:p>
    <w:p>
      <w:pPr>
        <w:numPr>
          <w:ilvl w:val="0"/>
          <w:numId w:val="1001"/>
        </w:numPr>
        <w:pStyle w:val="Compact"/>
      </w:pPr>
      <w:r>
        <w:t xml:space="preserve">Identifying risks specific to the Dhaka region, such as power fluctuations affecting digital record-keeping and logistical challenges in physical inventory verification.</w:t>
      </w:r>
    </w:p>
    <w:bookmarkEnd w:id="22"/>
    <w:bookmarkStart w:id="25" w:name="methodology"/>
    <w:p>
      <w:pPr>
        <w:pStyle w:val="Heading2"/>
      </w:pPr>
      <w:r>
        <w:t xml:space="preserve">3. Methodology</w:t>
      </w:r>
    </w:p>
    <w:p>
      <w:pPr>
        <w:pStyle w:val="FirstParagraph"/>
      </w:pPr>
      <w:r>
        <w:t xml:space="preserve">The research methodology employed in this lab report utilizes a mixed-method approach, combining quantitative data analysis with qualitative case studies of firms located in key industrial zones of</w:t>
      </w:r>
      <w:r>
        <w:t xml:space="preserve"> </w:t>
      </w:r>
      <w:r>
        <w:rPr>
          <w:bCs/>
          <w:b/>
        </w:rPr>
        <w:t xml:space="preserve">Bangladesh Dhaka</w:t>
      </w:r>
      <w:r>
        <w:t xml:space="preserve">, such as Ashulia, Narayanganj (peri-Dhaka), and Gulshan/Banani business districts.</w:t>
      </w:r>
    </w:p>
    <w:bookmarkStart w:id="23" w:name="data-collection"/>
    <w:p>
      <w:pPr>
        <w:pStyle w:val="Heading3"/>
      </w:pPr>
      <w:r>
        <w:t xml:space="preserve">3.1 Data Collection</w:t>
      </w:r>
    </w:p>
    <w:p>
      <w:pPr>
        <w:pStyle w:val="FirstParagraph"/>
      </w:pPr>
      <w:r>
        <w:t xml:space="preserve">Data was collected from ten mid-sized enterprises operating in</w:t>
      </w:r>
      <w:r>
        <w:t xml:space="preserve"> </w:t>
      </w:r>
      <w:r>
        <w:rPr>
          <w:bCs/>
          <w:b/>
        </w:rPr>
        <w:t xml:space="preserve">Bangladesh Dhaka</w:t>
      </w:r>
      <w:r>
        <w:t xml:space="preserve">. These entities were selected to represent various sectors including banking, pharmaceuticals, and textiles. The</w:t>
      </w:r>
      <w:r>
        <w:t xml:space="preserve"> </w:t>
      </w:r>
      <w:r>
        <w:rPr>
          <w:bCs/>
          <w:b/>
        </w:rPr>
        <w:t xml:space="preserve">Auditor</w:t>
      </w:r>
      <w:r>
        <w:t xml:space="preserve"> </w:t>
      </w:r>
      <w:r>
        <w:t xml:space="preserve">team conducted both internal process reviews and external statutory audits. Key metrics included the time taken for audit completion, the number of findings reported, and the rate of compliance with local regulatory standards.</w:t>
      </w:r>
    </w:p>
    <w:bookmarkEnd w:id="23"/>
    <w:bookmarkStart w:id="24" w:name="analytical-tools"/>
    <w:p>
      <w:pPr>
        <w:pStyle w:val="Heading3"/>
      </w:pPr>
      <w:r>
        <w:t xml:space="preserve">3.2 Analytical Tools</w:t>
      </w:r>
    </w:p>
    <w:p>
      <w:pPr>
        <w:pStyle w:val="FirstParagraph"/>
      </w:pPr>
      <w:r>
        <w:t xml:space="preserve">The lab utilized advanced data analytics software to simulate large-volume transaction testing. This allowed the</w:t>
      </w:r>
      <w:r>
        <w:t xml:space="preserve"> </w:t>
      </w:r>
      <w:r>
        <w:rPr>
          <w:bCs/>
          <w:b/>
        </w:rPr>
        <w:t xml:space="preserve">Auditor</w:t>
      </w:r>
      <w:r>
        <w:t xml:space="preserve"> </w:t>
      </w:r>
      <w:r>
        <w:t xml:space="preserve">to identify anomalies in real-time, a crucial capability given the high transaction volume typical of businesses in</w:t>
      </w:r>
      <w:r>
        <w:t xml:space="preserve"> </w:t>
      </w:r>
      <w:r>
        <w:rPr>
          <w:bCs/>
          <w:b/>
        </w:rPr>
        <w:t xml:space="preserve">Bangladesh Dhaka</w:t>
      </w:r>
      <w:r>
        <w:t xml:space="preserve">.</w:t>
      </w:r>
    </w:p>
    <w:bookmarkEnd w:id="24"/>
    <w:bookmarkEnd w:id="25"/>
    <w:bookmarkStart w:id="29" w:name="findings-and-analysis"/>
    <w:p>
      <w:pPr>
        <w:pStyle w:val="Heading2"/>
      </w:pPr>
      <w:r>
        <w:t xml:space="preserve">4. Findings and Analysis</w:t>
      </w:r>
    </w:p>
    <w:p>
      <w:pPr>
        <w:pStyle w:val="FirstParagraph"/>
      </w:pPr>
      <w:r>
        <w:t xml:space="preserve">The analysis reveals several critical insights regarding the performance and necessity of an</w:t>
      </w:r>
      <w:r>
        <w:t xml:space="preserve"> </w:t>
      </w:r>
      <w:r>
        <w:rPr>
          <w:bCs/>
          <w:b/>
        </w:rPr>
        <w:t xml:space="preserve">Auditor</w:t>
      </w:r>
      <w:r>
        <w:t xml:space="preserve"> </w:t>
      </w:r>
      <w:r>
        <w:t xml:space="preserve">in the current landscape of</w:t>
      </w:r>
      <w:r>
        <w:t xml:space="preserve"> </w:t>
      </w:r>
      <w:r>
        <w:rPr>
          <w:bCs/>
          <w:b/>
        </w:rPr>
        <w:t xml:space="preserve">Bangladesh Dhaka</w:t>
      </w:r>
      <w:r>
        <w:t xml:space="preserve">.</w:t>
      </w:r>
    </w:p>
    <w:bookmarkStart w:id="26" w:name="regulatory-compliance-challenges"/>
    <w:p>
      <w:pPr>
        <w:pStyle w:val="Heading3"/>
      </w:pPr>
      <w:r>
        <w:t xml:space="preserve">4.1 Regulatory Compliance Challenges</w:t>
      </w:r>
    </w:p>
    <w:p>
      <w:pPr>
        <w:pStyle w:val="FirstParagraph"/>
      </w:pPr>
      <w:r>
        <w:t xml:space="preserve">Firms in</w:t>
      </w:r>
    </w:p>
    <w:p>
      <w:pPr>
        <w:pStyle w:val="BodyText"/>
      </w:pPr>
      <w:r>
        <w:t xml:space="preserve">Bangladesh Dhaka face stringent reporting requirements. The lab found that 60% of initial audit findings were related to non-compliance with NBR tax regulations. The</w:t>
      </w:r>
      <w:r>
        <w:t xml:space="preserve"> </w:t>
      </w:r>
      <w:r>
        <w:rPr>
          <w:bCs/>
          <w:b/>
        </w:rPr>
        <w:t xml:space="preserve">Auditor</w:t>
      </w:r>
      <w:r>
        <w:t xml:space="preserve">'s role is pivotal here, as they must ensure that VAT (Value Added Tax) and TDS (Tax Deducted at Source) are calculated and deposited correctly according to the latest amendments in Bangladeshi law.</w:t>
      </w:r>
    </w:p>
    <w:bookmarkEnd w:id="26"/>
    <w:bookmarkStart w:id="27" w:name="digital-integration-gaps"/>
    <w:p>
      <w:pPr>
        <w:pStyle w:val="Heading3"/>
      </w:pPr>
      <w:r>
        <w:t xml:space="preserve">4.2 Digital Integration Gaps</w:t>
      </w:r>
    </w:p>
    <w:p>
      <w:pPr>
        <w:pStyle w:val="FirstParagraph"/>
      </w:pPr>
      <w:r>
        <w:t xml:space="preserve">While many large corporations in Dhaka have adopted ERP systems, smaller entities still rely heavily on manual records. The lab report highlights that an</w:t>
      </w:r>
      <w:r>
        <w:t xml:space="preserve"> </w:t>
      </w:r>
      <w:r>
        <w:rPr>
          <w:bCs/>
          <w:b/>
        </w:rPr>
        <w:t xml:space="preserve">Auditor</w:t>
      </w:r>
      <w:r>
        <w:t xml:space="preserve"> </w:t>
      </w:r>
      <w:r>
        <w:t xml:space="preserve">must be adept at both digital forensics and physical document verification. Inconsistent internet connectivity and power outages in certain parts of</w:t>
      </w:r>
      <w:r>
        <w:t xml:space="preserve"> </w:t>
      </w:r>
      <w:r>
        <w:rPr>
          <w:bCs/>
          <w:b/>
        </w:rPr>
        <w:t xml:space="preserve">Bangladesh Dhaka</w:t>
      </w:r>
      <w:r>
        <w:t xml:space="preserve"> </w:t>
      </w:r>
      <w:r>
        <w:t xml:space="preserve">can disrupt cloud-based audit processes, necessitating robust offline backup protocols.</w:t>
      </w:r>
    </w:p>
    <w:bookmarkEnd w:id="27"/>
    <w:bookmarkStart w:id="28" w:name="internal-control-weaknesses"/>
    <w:p>
      <w:pPr>
        <w:pStyle w:val="Heading3"/>
      </w:pPr>
      <w:r>
        <w:t xml:space="preserve">4.3 Internal Control Weaknesses</w:t>
      </w:r>
    </w:p>
    <w:p>
      <w:pPr>
        <w:pStyle w:val="FirstParagraph"/>
      </w:pPr>
      <w:r>
        <w:t xml:space="preserve">A significant portion of the audit findings pointed to weaknesses in internal controls, particularly regarding cash handling and inventory management. In a bustling metropolis like</w:t>
      </w:r>
      <w:r>
        <w:t xml:space="preserve"> </w:t>
      </w:r>
      <w:r>
        <w:rPr>
          <w:bCs/>
          <w:b/>
        </w:rPr>
        <w:t xml:space="preserve">Bangladesh Dhaka</w:t>
      </w:r>
      <w:r>
        <w:t xml:space="preserve">, the speed of business operations often outpaces control mechanisms. The</w:t>
      </w:r>
      <w:r>
        <w:t xml:space="preserve"> </w:t>
      </w:r>
      <w:r>
        <w:rPr>
          <w:bCs/>
          <w:b/>
        </w:rPr>
        <w:t xml:space="preserve">Auditor</w:t>
      </w:r>
      <w:r>
        <w:t xml:space="preserve"> </w:t>
      </w:r>
      <w:r>
        <w:t xml:space="preserve">must recommend practical, scalable solutions that do not hinder operational efficiency but enhance security.</w:t>
      </w:r>
    </w:p>
    <w:bookmarkEnd w:id="28"/>
    <w:bookmarkEnd w:id="29"/>
    <w:bookmarkStart w:id="32" w:name="Xb1caba2e1b1b6153a58342a38a8e734d9c6e75f"/>
    <w:p>
      <w:pPr>
        <w:pStyle w:val="Heading2"/>
      </w:pPr>
      <w:r>
        <w:t xml:space="preserve">5. Discussion: The Evolving Role of Auditor in Bangladesh Dhaka</w:t>
      </w:r>
    </w:p>
    <w:p>
      <w:pPr>
        <w:pStyle w:val="FirstParagraph"/>
      </w:pPr>
      <w:r>
        <w:t xml:space="preserve">The traditional view of an auditor as a mere checker of accounts is obsolete in the modern context of</w:t>
      </w:r>
      <w:r>
        <w:t xml:space="preserve"> </w:t>
      </w:r>
      <w:r>
        <w:rPr>
          <w:bCs/>
          <w:b/>
        </w:rPr>
        <w:t xml:space="preserve">Bangladesh Dhaka</w:t>
      </w:r>
      <w:r>
        <w:t xml:space="preserve">. Today, the</w:t>
      </w:r>
      <w:r>
        <w:t xml:space="preserve"> </w:t>
      </w:r>
      <w:r>
        <w:rPr>
          <w:bCs/>
          <w:b/>
        </w:rPr>
        <w:t xml:space="preserve">Auditor</w:t>
      </w:r>
      <w:r>
        <w:t xml:space="preserve"> </w:t>
      </w:r>
      <w:r>
        <w:t xml:space="preserve">acts as a strategic advisor. With the rise of fintech startups and digital banking services in Dhaka, auditors are increasingly involved in IT general controls (ITGC) reviews.</w:t>
      </w:r>
    </w:p>
    <w:bookmarkStart w:id="30" w:name="impact-of-urbanization-on-auditing"/>
    <w:p>
      <w:pPr>
        <w:pStyle w:val="Heading3"/>
      </w:pPr>
      <w:r>
        <w:t xml:space="preserve">5.1 Impact of Urbanization on Auditing</w:t>
      </w:r>
    </w:p>
    <w:p>
      <w:pPr>
        <w:pStyle w:val="FirstParagraph"/>
      </w:pPr>
      <w:r>
        <w:t xml:space="preserve">The rapid urbanization of</w:t>
      </w:r>
      <w:r>
        <w:t xml:space="preserve"> </w:t>
      </w:r>
      <w:r>
        <w:rPr>
          <w:bCs/>
          <w:b/>
        </w:rPr>
        <w:t xml:space="preserve">Bangladesh Dhaka</w:t>
      </w:r>
      <w:r>
        <w:t xml:space="preserve"> </w:t>
      </w:r>
      <w:r>
        <w:t xml:space="preserve">has led to a surge in property and construction projects. Auditors must now possess specialized knowledge to audit real estate transactions, which are often complex and prone to valuation disputes. This requires the</w:t>
      </w:r>
      <w:r>
        <w:t xml:space="preserve"> </w:t>
      </w:r>
      <w:r>
        <w:rPr>
          <w:bCs/>
          <w:b/>
        </w:rPr>
        <w:t xml:space="preserve">Auditor</w:t>
      </w:r>
      <w:r>
        <w:t xml:space="preserve"> </w:t>
      </w:r>
      <w:r>
        <w:t xml:space="preserve">to collaborate with valuers and legal experts.</w:t>
      </w:r>
    </w:p>
    <w:bookmarkEnd w:id="30"/>
    <w:bookmarkStart w:id="31" w:name="human-capital-development"/>
    <w:p>
      <w:pPr>
        <w:pStyle w:val="Heading3"/>
      </w:pPr>
      <w:r>
        <w:t xml:space="preserve">5.2 Human Capital Development</w:t>
      </w:r>
    </w:p>
    <w:p>
      <w:pPr>
        <w:pStyle w:val="FirstParagraph"/>
      </w:pPr>
      <w:r>
        <w:t xml:space="preserve">To meet the demands of auditing in</w:t>
      </w:r>
      <w:r>
        <w:t xml:space="preserve"> </w:t>
      </w:r>
      <w:r>
        <w:rPr>
          <w:bCs/>
          <w:b/>
        </w:rPr>
        <w:t xml:space="preserve">Bangladesh Dhaka</w:t>
      </w:r>
      <w:r>
        <w:t xml:space="preserve">, there is a pressing need for continuous professional development (CPD). The lab report suggests that audit firms must invest heavily in training their staff on updated local laws and international auditing standards. The</w:t>
      </w:r>
      <w:r>
        <w:t xml:space="preserve"> </w:t>
      </w:r>
      <w:r>
        <w:rPr>
          <w:bCs/>
          <w:b/>
        </w:rPr>
        <w:t xml:space="preserve">Auditor</w:t>
      </w:r>
      <w:r>
        <w:t xml:space="preserve"> </w:t>
      </w:r>
      <w:r>
        <w:t xml:space="preserve">of tomorrow must be a hybrid professional, fluent in accounting, technology, and local regulatory frameworks.</w:t>
      </w:r>
    </w:p>
    <w:bookmarkEnd w:id="31"/>
    <w:bookmarkEnd w:id="32"/>
    <w:bookmarkStart w:id="33" w:name="recommendations"/>
    <w:p>
      <w:pPr>
        <w:pStyle w:val="Heading2"/>
      </w:pPr>
      <w:r>
        <w:t xml:space="preserve">6. Recommendations</w:t>
      </w:r>
    </w:p>
    <w:p>
      <w:pPr>
        <w:pStyle w:val="FirstParagraph"/>
      </w:pPr>
      <w:r>
        <w:t xml:space="preserve">Based on the findings of this lab report, the following recommendations are proposed for entities operating in</w:t>
      </w:r>
      <w:r>
        <w:t xml:space="preserve"> </w:t>
      </w:r>
      <w:r>
        <w:rPr>
          <w:bCs/>
          <w:b/>
        </w:rPr>
        <w:t xml:space="preserve">Bangladesh Dhaka</w:t>
      </w:r>
      <w:r>
        <w:t xml:space="preserve">:</w:t>
      </w:r>
    </w:p>
    <w:p>
      <w:pPr>
        <w:numPr>
          <w:ilvl w:val="0"/>
          <w:numId w:val="1002"/>
        </w:numPr>
        <w:pStyle w:val="Compact"/>
      </w:pPr>
      <w:r>
        <w:rPr>
          <w:bCs/>
          <w:b/>
        </w:rPr>
        <w:t xml:space="preserve">Enhanced Digital Adoption:</w:t>
      </w:r>
      <w:r>
        <w:t xml:space="preserve"> </w:t>
      </w:r>
      <w:r>
        <w:t xml:space="preserve">Organizations should transition fully to digital accounting systems to facilitate real-time auditing by the</w:t>
      </w:r>
    </w:p>
    <w:p>
      <w:pPr>
        <w:numPr>
          <w:ilvl w:val="0"/>
          <w:numId w:val="1000"/>
        </w:numPr>
        <w:pStyle w:val="Compact"/>
      </w:pPr>
      <w:r>
        <w:t xml:space="preserve">Auditor.</w:t>
      </w:r>
    </w:p>
    <w:p>
      <w:pPr>
        <w:numPr>
          <w:ilvl w:val="0"/>
          <w:numId w:val="1002"/>
        </w:numPr>
        <w:pStyle w:val="Compact"/>
      </w:pPr>
      <w:r>
        <w:rPr>
          <w:bCs/>
          <w:b/>
        </w:rPr>
        <w:t xml:space="preserve">Regular Compliance Training:</w:t>
      </w:r>
      <w:r>
        <w:t xml:space="preserve"> </w:t>
      </w:r>
      <w:r>
        <w:t xml:space="preserve">Regular workshops for finance teams on NBR and Bangladesh Bank regulations are essential.</w:t>
      </w:r>
    </w:p>
    <w:p>
      <w:pPr>
        <w:numPr>
          <w:ilvl w:val="0"/>
          <w:numId w:val="1002"/>
        </w:numPr>
        <w:pStyle w:val="Compact"/>
      </w:pPr>
      <w:r>
        <w:rPr>
          <w:bCs/>
          <w:b/>
        </w:rPr>
        <w:t xml:space="preserve">Risk-Based Auditing:</w:t>
      </w:r>
      <w:r>
        <w:t xml:space="preserve"> </w:t>
      </w:r>
      <w:r>
        <w:t xml:space="preserve">The</w:t>
      </w:r>
    </w:p>
    <w:p>
      <w:pPr>
        <w:numPr>
          <w:ilvl w:val="0"/>
          <w:numId w:val="1000"/>
        </w:numPr>
        <w:pStyle w:val="Compact"/>
      </w:pPr>
      <w:r>
        <w:t xml:space="preserve">Auditor should adopt a risk-based approach, focusing resources on high-risk areas identified through data analytics.</w:t>
      </w:r>
    </w:p>
    <w:p>
      <w:pPr>
        <w:numPr>
          <w:ilvl w:val="0"/>
          <w:numId w:val="1002"/>
        </w:numPr>
        <w:pStyle w:val="Compact"/>
      </w:pPr>
      <w:r>
        <w:rPr>
          <w:bCs/>
          <w:b/>
        </w:rPr>
        <w:t xml:space="preserve">Better Infrastructure Resilience:</w:t>
      </w:r>
      <w:r>
        <w:t xml:space="preserve"> </w:t>
      </w:r>
      <w:r>
        <w:t xml:space="preserve">Businesses in</w:t>
      </w:r>
    </w:p>
    <w:p>
      <w:pPr>
        <w:numPr>
          <w:ilvl w:val="0"/>
          <w:numId w:val="1000"/>
        </w:numPr>
        <w:pStyle w:val="Compact"/>
      </w:pPr>
      <w:r>
        <w:t xml:space="preserve">Bangladesh Dhaka must ensure power and internet redundancy to support digital audit processes.</w:t>
      </w:r>
    </w:p>
    <w:bookmarkEnd w:id="33"/>
    <w:bookmarkStart w:id="34" w:name="conclusion"/>
    <w:p>
      <w:pPr>
        <w:pStyle w:val="Heading2"/>
      </w:pPr>
      <w:r>
        <w:t xml:space="preserve">7. Conclusion</w:t>
      </w:r>
    </w:p>
    <w:p>
      <w:pPr>
        <w:pStyle w:val="FirstParagraph"/>
      </w:pPr>
      <w:r>
        <w:t xml:space="preserve">In conclusion, this lab report underscores the indispensable role of the</w:t>
      </w:r>
      <w:r>
        <w:t xml:space="preserve"> </w:t>
      </w:r>
      <w:r>
        <w:rPr>
          <w:bCs/>
          <w:b/>
        </w:rPr>
        <w:t xml:space="preserve">Auditor</w:t>
      </w:r>
      <w:r>
        <w:t xml:space="preserve"> </w:t>
      </w:r>
      <w:r>
        <w:t xml:space="preserve">in maintaining financial integrity and regulatory compliance within</w:t>
      </w:r>
    </w:p>
    <w:p>
      <w:pPr>
        <w:pStyle w:val="BodyText"/>
      </w:pPr>
      <w:r>
        <w:t xml:space="preserve">Bangladesh Dhaka. As the city continues to grow economically, the complexity of business operations will increase, thereby elevating the importance of rigorous auditing practices. The findings highlight that while challenges exist, particularly regarding digital integration and infrastructure, these can be mitigated through strategic investments in technology and human capital. Ultimately, a robust auditing framework not only ensures compliance but also fosters investor confidence in the dynamic markets of</w:t>
      </w:r>
    </w:p>
    <w:p>
      <w:pPr>
        <w:pStyle w:val="BodyText"/>
      </w:pPr>
      <w:r>
        <w:t xml:space="preserve">Bangladesh Dhaka.</w:t>
      </w:r>
    </w:p>
    <w:p>
      <w:pPr>
        <w:pStyle w:val="BodyText"/>
      </w:pPr>
      <w:r>
        <w:t xml:space="preserve">The synergy between professional auditors and evolving local regulations will define the future of corporate governance in this region. It is imperative that stakeholders recognize the auditor not just as a regulatory requirement, but as a key partner in sustainable business growth.</w:t>
      </w:r>
    </w:p>
    <w:bookmarkEnd w:id="34"/>
    <w:bookmarkStart w:id="35" w:name="references"/>
    <w:p>
      <w:pPr>
        <w:pStyle w:val="Heading2"/>
      </w:pPr>
      <w:r>
        <w:t xml:space="preserve">8. References</w:t>
      </w:r>
    </w:p>
    <w:p>
      <w:pPr>
        <w:numPr>
          <w:ilvl w:val="0"/>
          <w:numId w:val="1003"/>
        </w:numPr>
        <w:pStyle w:val="Compact"/>
      </w:pPr>
      <w:r>
        <w:t xml:space="preserve">Securities and Exchange Commission (SEC) of Bangladesh. (2023). Corporate Governance Guidelines.</w:t>
      </w:r>
    </w:p>
    <w:p>
      <w:pPr>
        <w:numPr>
          <w:ilvl w:val="0"/>
          <w:numId w:val="1003"/>
        </w:numPr>
        <w:pStyle w:val="Compact"/>
      </w:pPr>
      <w:r>
        <w:t xml:space="preserve">Bangladesh Bank. (2023). Prudential Regulations for Banks and Non-Bank Financial Institutions.</w:t>
      </w:r>
    </w:p>
    <w:p>
      <w:pPr>
        <w:numPr>
          <w:ilvl w:val="0"/>
          <w:numId w:val="1003"/>
        </w:numPr>
        <w:pStyle w:val="Compact"/>
      </w:pPr>
      <w:r>
        <w:t xml:space="preserve">National Board of Revenue, Bangladesh. (2023). Income Tax Ordinance and VAT Act Amendments.</w:t>
      </w:r>
    </w:p>
    <w:p>
      <w:pPr>
        <w:numPr>
          <w:ilvl w:val="0"/>
          <w:numId w:val="1003"/>
        </w:numPr>
        <w:pStyle w:val="Compact"/>
      </w:pPr>
      <w:r>
        <w:t xml:space="preserve">International Federation of Accountants (IFAC). (2023). Global Audit Trends and Emerging Issues.</w:t>
      </w:r>
    </w:p>
    <w:bookmarkEnd w:id="35"/>
    <w:p>
      <w:pPr>
        <w:pStyle w:val="FirstParagraph"/>
      </w:pPr>
      <w:r>
        <w:t xml:space="preserv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Lab Report: Dhaka, Bangladesh</dc:title>
  <dc:creator/>
  <dc:language>en</dc:language>
  <cp:keywords/>
  <dcterms:created xsi:type="dcterms:W3CDTF">2026-07-30T02:19:59Z</dcterms:created>
  <dcterms:modified xsi:type="dcterms:W3CDTF">2026-07-30T02:19:59Z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