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w:t>
      </w:r>
      <w:r>
        <w:t xml:space="preserve"> </w:t>
      </w:r>
      <w:r>
        <w:t xml:space="preserve">Colombia</w:t>
      </w:r>
      <w:r>
        <w:t xml:space="preserve"> </w:t>
      </w:r>
      <w:r>
        <w:t xml:space="preserve">Bogotá</w:t>
      </w:r>
    </w:p>
    <w:p>
      <w:pPr>
        <w:pStyle w:val="FirstParagraph"/>
      </w:pPr>
      <w:r>
        <w:t xml:space="preserve">```html</w:t>
      </w:r>
    </w:p>
    <w:bookmarkStart w:id="23" w:name="X7171f35329c6668c7c511b4f57530a589127b6a"/>
    <w:p>
      <w:pPr>
        <w:pStyle w:val="Heading1"/>
      </w:pPr>
      <w:r>
        <w:t xml:space="preserve">Auditor Laboratory Report: Compliance and Operational Assessment Framework</w:t>
      </w:r>
    </w:p>
    <w:bookmarkStart w:id="22" w:name="date-october-26-2023"/>
    <w:p>
      <w:pPr>
        <w:pStyle w:val="Heading2"/>
      </w:pPr>
      <w:r>
        <w:t xml:space="preserve">Date: October 26, 2023</w:t>
      </w:r>
    </w:p>
    <w:bookmarkStart w:id="21" w:name="location-colombia-bogotá"/>
    <w:p>
      <w:pPr>
        <w:pStyle w:val="Heading3"/>
      </w:pPr>
      <w:r>
        <w:t xml:space="preserve">Location: Colombia Bogotá</w:t>
      </w:r>
    </w:p>
    <w:bookmarkStart w:id="20" w:name="status-confidential-internal-use-only"/>
    <w:p>
      <w:pPr>
        <w:pStyle w:val="Heading4"/>
      </w:pPr>
      <w:r>
        <w:t xml:space="preserve">Status: Confidential / Internal Use Only</w:t>
      </w:r>
    </w:p>
    <w:p>
      <w:r>
        <w:pict>
          <v:rect style="width:0;height:1.5pt" o:hralign="center" o:hrstd="t" o:hr="t"/>
        </w:pict>
      </w:r>
    </w:p>
    <w:bookmarkEnd w:id="20"/>
    <w:bookmarkEnd w:id="21"/>
    <w:bookmarkEnd w:id="22"/>
    <w:bookmarkEnd w:id="23"/>
    <w:bookmarkStart w:id="24" w:name="abstract"/>
    <w:p>
      <w:pPr>
        <w:pStyle w:val="Heading1"/>
      </w:pPr>
      <w:r>
        <w:t xml:space="preserve">Abstract</w:t>
      </w:r>
    </w:p>
    <w:p>
      <w:pPr>
        <w:pStyle w:val="FirstParagraph"/>
      </w:pPr>
      <w:r>
        <w:t xml:space="preserve">This laboratory report details the comprehensive audit procedures, findings, and recommendations implemented within the jurisdiction of Colombia Bogotá. The primary objective of this auditor-led investigation was to evaluate internal controls, financial reporting accuracy, and regulatory compliance with local statutory requirements in one of South America's most critical economic hubs. As a designated Auditor for operations centered in Colombia Bogotá, strict adherence to both international auditing standards (ISA) and local Colombian regulations (such as those mandated by the Superintendencia de Sociedades) was paramount. This document serves as a formal record of the audit lifecycle, highlighting key risk assessments, testing methodologies, and the final conclusions drawn regarding organizational integrity.</w:t>
      </w:r>
    </w:p>
    <w:bookmarkEnd w:id="24"/>
    <w:bookmarkStart w:id="25" w:name="introduction"/>
    <w:p>
      <w:pPr>
        <w:pStyle w:val="Heading1"/>
      </w:pPr>
      <w:r>
        <w:t xml:space="preserve">Introduction</w:t>
      </w:r>
    </w:p>
    <w:p>
      <w:pPr>
        <w:pStyle w:val="FirstParagraph"/>
      </w:pPr>
      <w:r>
        <w:t xml:space="preserve">In today's complex business environment, particularly in emerging markets like Colombia Bogotá, robust auditing mechanisms are essential for maintaining stakeholder trust and operational efficiency. The role of the Auditor extends beyond mere numerical verification; it encompasses a holistic evaluation of governance structures, risk management frameworks, and internal control systems. This report focuses on the specific challenges and opportunities presented by conducting an audit within Colombia Bogotá.</w:t>
      </w:r>
    </w:p>
    <w:p>
      <w:pPr>
        <w:pStyle w:val="BodyText"/>
      </w:pPr>
      <w:r>
        <w:t xml:space="preserve">The economic landscape of Colombia Bogotá is characterized by rapid digital transformation, stringent tax reforms introduced by the DIAN (Dirección de Impuestos y Aduanas Nacionales), and increasing demands for corporate social responsibility. Consequently, the Auditor must possess a nuanced understanding of these local dynamics. This lab report documents our approach to navigating these specific regional characteristics while maintaining global professional standards.</w:t>
      </w:r>
    </w:p>
    <w:bookmarkEnd w:id="25"/>
    <w:bookmarkStart w:id="26" w:name="scope"/>
    <w:p>
      <w:pPr>
        <w:pStyle w:val="Heading1"/>
      </w:pPr>
      <w:r>
        <w:t xml:space="preserve">Scope of the Audit</w:t>
      </w:r>
    </w:p>
    <w:p>
      <w:pPr>
        <w:pStyle w:val="FirstParagraph"/>
      </w:pPr>
      <w:r>
        <w:t xml:space="preserve">The scope of this auditor engagement was defined to cover all financial and operational aspects of the entity’s activities within Colombia Bogotá for the fiscal year ended December 31, 2022. The following areas were prioritized:</w:t>
      </w:r>
    </w:p>
    <w:p>
      <w:pPr>
        <w:numPr>
          <w:ilvl w:val="0"/>
          <w:numId w:val="1001"/>
        </w:numPr>
        <w:pStyle w:val="Compact"/>
      </w:pPr>
      <w:r>
        <w:rPr>
          <w:bCs/>
          <w:b/>
        </w:rPr>
        <w:t xml:space="preserve">Financial Reporting:</w:t>
      </w:r>
      <w:r>
        <w:t xml:space="preserve"> </w:t>
      </w:r>
      <w:r>
        <w:t xml:space="preserve">Verification of adherence to Colombian Generally Accepted Accounting Principles (GAAP) or International Financial Reporting Standards (IFRS), as applicable to local entities in Colombia Bogotá.</w:t>
      </w:r>
    </w:p>
    <w:p>
      <w:pPr>
        <w:numPr>
          <w:ilvl w:val="0"/>
          <w:numId w:val="1001"/>
        </w:numPr>
        <w:pStyle w:val="Compact"/>
      </w:pPr>
      <w:r>
        <w:rPr>
          <w:bCs/>
          <w:b/>
        </w:rPr>
        <w:t xml:space="preserve">Tax Compliance:</w:t>
      </w:r>
      <w:r>
        <w:t xml:space="preserve"> </w:t>
      </w:r>
      <w:r>
        <w:t xml:space="preserve">Assessment of withholding taxes, income tax provisions, and value-added tax (VAT) declarations specific to the Bogotá metropolitan area regulations.</w:t>
      </w:r>
    </w:p>
    <w:p>
      <w:pPr>
        <w:numPr>
          <w:ilvl w:val="0"/>
          <w:numId w:val="1001"/>
        </w:numPr>
        <w:pStyle w:val="Compact"/>
      </w:pPr>
      <w:r>
        <w:rPr>
          <w:bCs/>
          <w:b/>
        </w:rPr>
        <w:t xml:space="preserve">Internal Controls:</w:t>
      </w:r>
      <w:r>
        <w:t xml:space="preserve"> </w:t>
      </w:r>
      <w:r>
        <w:t xml:space="preserve">Evaluation of segregation of duties, authorization protocols for disbursements greater than 500 million Colombian Pesos (COP), and cybersecurity measures protecting financial data.</w:t>
      </w:r>
    </w:p>
    <w:p>
      <w:pPr>
        <w:numPr>
          <w:ilvl w:val="0"/>
          <w:numId w:val="1001"/>
        </w:numPr>
        <w:pStyle w:val="Compact"/>
      </w:pPr>
      <w:r>
        <w:rPr>
          <w:bCs/>
          <w:b/>
        </w:rPr>
        <w:t xml:space="preserve">Labor Law Compliance:</w:t>
      </w:r>
      <w:r>
        <w:t xml:space="preserve"> </w:t>
      </w:r>
      <w:r>
        <w:t xml:space="preserve">Review of payroll processes to ensure compliance with the Colombian Labor Code, including social security contributions (health, pension, and solidarity) mandated for employees based in Colombia Bogotá.</w:t>
      </w:r>
    </w:p>
    <w:bookmarkEnd w:id="26"/>
    <w:bookmarkStart w:id="30" w:name="methodology"/>
    <w:p>
      <w:pPr>
        <w:pStyle w:val="Heading1"/>
      </w:pPr>
      <w:r>
        <w:t xml:space="preserve">Methodology</w:t>
      </w:r>
    </w:p>
    <w:p>
      <w:pPr>
        <w:pStyle w:val="FirstParagraph"/>
      </w:pPr>
      <w:r>
        <w:t xml:space="preserve">The Auditor employed a risk-based audit approach tailored to the specific context of Colombia Bogotá. The methodology consisted of three primary phases:</w:t>
      </w:r>
    </w:p>
    <w:bookmarkStart w:id="27" w:name="risk-assessment-and-planning"/>
    <w:p>
      <w:pPr>
        <w:pStyle w:val="Heading3"/>
      </w:pPr>
      <w:r>
        <w:t xml:space="preserve">1. Risk Assessment and Planning</w:t>
      </w:r>
    </w:p>
    <w:p>
      <w:pPr>
        <w:pStyle w:val="FirstParagraph"/>
      </w:pPr>
      <w:r>
        <w:t xml:space="preserve">Prior to fieldwork, the Auditor conducted extensive interviews with management and reviewed previous audit reports. Special attention was given to high-risk areas identified in similar organizations operating in Colombia Bogotá, such as cash handling procedures due to historical vulnerabilities in the region’s transactional environment.</w:t>
      </w:r>
    </w:p>
    <w:bookmarkEnd w:id="27"/>
    <w:bookmarkStart w:id="28" w:name="testing-and-substantive-procedures"/>
    <w:p>
      <w:pPr>
        <w:pStyle w:val="Heading3"/>
      </w:pPr>
      <w:r>
        <w:t xml:space="preserve">2. Testing and Substantive Procedures</w:t>
      </w:r>
    </w:p>
    <w:p>
      <w:pPr>
        <w:pStyle w:val="FirstParagraph"/>
      </w:pPr>
      <w:r>
        <w:rPr>
          <w:bCs/>
          <w:b/>
        </w:rPr>
        <w:t xml:space="preserve">Sampling Techniques:</w:t>
      </w:r>
      <w:r>
        <w:t xml:space="preserve">A stratified random sampling method was used to select transactions for testing. This ensured that both high-value and low-frequency transactions were adequately represented, reflecting the diverse economic activity typical of Colombia Bogotá.</w:t>
      </w:r>
    </w:p>
    <w:p>
      <w:pPr>
        <w:pStyle w:val="BodyText"/>
      </w:pPr>
      <w:r>
        <w:rPr>
          <w:bCs/>
          <w:b/>
        </w:rPr>
        <w:t xml:space="preserve">Vouching and Tracing:</w:t>
      </w:r>
      <w:r>
        <w:t xml:space="preserve">The Auditor vouched a sample of 150 significant journal entries to underlying supporting documentation, including invoices, contracts, and bank statements. Simultaneously, tracing procedures were applied to ensure completeness of recorded liabilities.</w:t>
      </w:r>
    </w:p>
    <w:p>
      <w:pPr>
        <w:pStyle w:val="BodyText"/>
      </w:pPr>
      <w:r>
        <w:rPr>
          <w:bCs/>
          <w:b/>
        </w:rPr>
        <w:t xml:space="preserve">Physical Observation:</w:t>
      </w:r>
      <w:r>
        <w:t xml:space="preserve">As part of the inventory audit conducted in Colombia Bogotá, the Auditor performed surprise physical counts at two major warehouse facilities. Discrepancies between system records and physical assets were noted and investigated thoroughly.</w:t>
      </w:r>
    </w:p>
    <w:bookmarkEnd w:id="28"/>
    <w:bookmarkStart w:id="29" w:name="analytical-procedures"/>
    <w:p>
      <w:pPr>
        <w:pStyle w:val="Heading3"/>
      </w:pPr>
      <w:r>
        <w:t xml:space="preserve">3. Analytical Procedures</w:t>
      </w:r>
    </w:p>
    <w:p>
      <w:pPr>
        <w:pStyle w:val="FirstParagraph"/>
      </w:pPr>
      <w:r>
        <w:t xml:space="preserve">Ratio analysis was performed to identify unusual fluctuations in financial data. Trends were compared against industry benchmarks specific to the Colombian market. For instance, profit margins were analyzed in the context of inflation rates prevalent in Colombia Bogotá during the audit period.</w:t>
      </w:r>
    </w:p>
    <w:bookmarkEnd w:id="29"/>
    <w:bookmarkEnd w:id="30"/>
    <w:bookmarkStart w:id="34" w:name="findings"/>
    <w:p>
      <w:pPr>
        <w:pStyle w:val="Heading1"/>
      </w:pPr>
      <w:r>
        <w:t xml:space="preserve">Findings</w:t>
      </w:r>
    </w:p>
    <w:p>
      <w:pPr>
        <w:pStyle w:val="FirstParagraph"/>
      </w:pPr>
      <w:r>
        <w:t xml:space="preserve">The following key findings emerged from the auditor's investigation:</w:t>
      </w:r>
    </w:p>
    <w:bookmarkStart w:id="31" w:name="Xd855ef89f636522286f97184582d0f5167559e3"/>
    <w:p>
      <w:pPr>
        <w:pStyle w:val="Heading2"/>
      </w:pPr>
      <w:r>
        <w:t xml:space="preserve">Finding 1: Weakness in Invoice Approval Workflow</w:t>
      </w:r>
    </w:p>
    <w:p>
      <w:pPr>
        <w:pStyle w:val="FirstParagraph"/>
      </w:pPr>
      <w:r>
        <w:rPr>
          <w:bCs/>
          <w:b/>
        </w:rPr>
        <w:t xml:space="preserve">Description:</w:t>
      </w:r>
      <w:r>
        <w:t xml:space="preserve">A significant control deficiency was identified in the accounts payable process. Specifically, invoices exceeding a certain threshold were occasionally approved by individuals who lacked delegated authority. This issue is particularly relevant in Colombia Bogotá, where regulatory scrutiny on large expenditures is high.</w:t>
      </w:r>
    </w:p>
    <w:p>
      <w:pPr>
        <w:pStyle w:val="BodyText"/>
      </w:pPr>
      <w:r>
        <w:rPr>
          <w:bCs/>
          <w:b/>
        </w:rPr>
        <w:t xml:space="preserve">Risk:</w:t>
      </w:r>
      <w:r>
        <w:t xml:space="preserve">Potential for fraud or erroneous payments leading to financial misstatement and non-compliance with internal policies.</w:t>
      </w:r>
    </w:p>
    <w:bookmarkEnd w:id="31"/>
    <w:bookmarkStart w:id="32" w:name="finding-2-delayed-vat-reconciliation"/>
    <w:p>
      <w:pPr>
        <w:pStyle w:val="Heading2"/>
      </w:pPr>
      <w:r>
        <w:t xml:space="preserve">Finding 2: Delayed VAT Reconciliation</w:t>
      </w:r>
    </w:p>
    <w:p>
      <w:pPr>
        <w:pStyle w:val="FirstParagraph"/>
      </w:pPr>
      <w:r>
        <w:rPr>
          <w:bCs/>
          <w:b/>
        </w:rPr>
        <w:t xml:space="preserve">Description:</w:t>
      </w:r>
      <w:r>
        <w:t xml:space="preserve">The reconciliation of Value Added Tax (VAT) returns was found to be delayed by an average of five business days. In the context of Colombia Bogotá’s strict tax administration by local DIAN offices, this delay increases the risk of penalties and interest charges.</w:t>
      </w:r>
    </w:p>
    <w:p>
      <w:pPr>
        <w:pStyle w:val="BodyText"/>
      </w:pPr>
      <w:r>
        <w:rPr>
          <w:bCs/>
          <w:b/>
        </w:rPr>
        <w:t xml:space="preserve">Risk:</w:t>
      </w:r>
      <w:r>
        <w:t xml:space="preserve">Fiscal penalties and reputational damage with Colombian tax authorities.</w:t>
      </w:r>
    </w:p>
    <w:bookmarkEnd w:id="32"/>
    <w:bookmarkStart w:id="33" w:name="finding-3-robust-cybersecurity-measures"/>
    <w:p>
      <w:pPr>
        <w:pStyle w:val="Heading2"/>
      </w:pPr>
      <w:r>
        <w:t xml:space="preserve">Finding 3: Robust Cybersecurity Measures</w:t>
      </w:r>
    </w:p>
    <w:p>
      <w:pPr>
        <w:pStyle w:val="FirstParagraph"/>
      </w:pPr>
      <w:r>
        <w:rPr>
          <w:bCs/>
          <w:b/>
        </w:rPr>
        <w:t xml:space="preserve">Description:</w:t>
      </w:r>
      <w:r>
        <w:t xml:space="preserve">The Auditor noted that cybersecurity protocols, particularly regarding access controls to financial systems, were up to international standards. Multi-factor authentication was enforced for all users accessing sensitive data related to operations in Colombia Bogotá.</w:t>
      </w:r>
    </w:p>
    <w:p>
      <w:pPr>
        <w:pStyle w:val="BodyText"/>
      </w:pPr>
      <w:r>
        <w:rPr>
          <w:bCs/>
          <w:b/>
        </w:rPr>
        <w:t xml:space="preserve">Risk:</w:t>
      </w:r>
      <w:r>
        <w:t xml:space="preserve">Negative (Low Risk). This is a strength of the organization.</w:t>
      </w:r>
    </w:p>
    <w:bookmarkEnd w:id="33"/>
    <w:bookmarkEnd w:id="34"/>
    <w:bookmarkStart w:id="35" w:name="recommendations"/>
    <w:p>
      <w:pPr>
        <w:pStyle w:val="Heading1"/>
      </w:pPr>
      <w:r>
        <w:t xml:space="preserve">Recommendations</w:t>
      </w:r>
    </w:p>
    <w:p>
      <w:pPr>
        <w:pStyle w:val="FirstParagraph"/>
      </w:pPr>
      <w:r>
        <w:t xml:space="preserve">Based on the findings, the Auditor recommends the following corrective actions for management in Colombia Bogotá:</w:t>
      </w:r>
    </w:p>
    <w:p>
      <w:pPr>
        <w:numPr>
          <w:ilvl w:val="0"/>
          <w:numId w:val="1002"/>
        </w:numPr>
        <w:pStyle w:val="Compact"/>
      </w:pPr>
      <w:r>
        <w:rPr>
          <w:bCs/>
          <w:b/>
        </w:rPr>
        <w:t xml:space="preserve">Softrware Implementation:</w:t>
      </w:r>
      <w:r>
        <w:t xml:space="preserve">Implement automated workflow controls in the ERP system to enforce segregation of duties. This will prevent unauthorized approvals and align with best practices for organizations operating in Colombia Bogotá.</w:t>
      </w:r>
    </w:p>
    <w:p>
      <w:pPr>
        <w:numPr>
          <w:ilvl w:val="0"/>
          <w:numId w:val="1002"/>
        </w:numPr>
        <w:pStyle w:val="Compact"/>
      </w:pPr>
      <w:r>
        <w:rPr>
          <w:bCs/>
          <w:b/>
        </w:rPr>
        <w:t xml:space="preserve">Tax Calendar Optimization:</w:t>
      </w:r>
      <w:r>
        <w:t xml:space="preserve">Create a dedicated internal task force responsible for monitoring VAT deadlines specifically for Bogotá-based entities. Regular training on DIAN regulations should be conducted quarterly.</w:t>
      </w:r>
    </w:p>
    <w:p>
      <w:pPr>
        <w:numPr>
          <w:ilvl w:val="0"/>
          <w:numId w:val="1002"/>
        </w:numPr>
        <w:pStyle w:val="Compact"/>
      </w:pPr>
      <w:r>
        <w:rPr>
          <w:bCs/>
          <w:b/>
        </w:rPr>
        <w:t xml:space="preserve">Continuous Monitoring:</w:t>
      </w:r>
      <w:r>
        <w:t xml:space="preserve">Audit Committee should establish a continuous monitoring framework to detect anomalies in real-time, leveraging data analytics tools suitable for the scale of operations in Colombia Bogotá.</w:t>
      </w:r>
    </w:p>
    <w:bookmarkEnd w:id="35"/>
    <w:bookmarkStart w:id="38" w:name="conclusion"/>
    <w:p>
      <w:pPr>
        <w:pStyle w:val="Heading1"/>
      </w:pPr>
      <w:r>
        <w:t xml:space="preserve">Conclusion</w:t>
      </w:r>
    </w:p>
    <w:p>
      <w:pPr>
        <w:pStyle w:val="FirstParagraph"/>
      </w:pPr>
      <w:r>
        <w:t xml:space="preserve">This Lab Report concludes that while the organization maintains a strong foundational control environment, specific procedural weaknesses require immediate attention. The Auditor emphasizes that compliance with local regulations in Colombia Bogotá is not static but requires ongoing vigilance due to evolving legal and economic conditions.</w:t>
      </w:r>
    </w:p>
    <w:p>
      <w:pPr>
        <w:pStyle w:val="BodyText"/>
      </w:pPr>
      <w:r>
        <w:t xml:space="preserve">The successful execution of this audit demonstrates the critical role of the Auditor as a guardian of financial integrity and operational efficiency. By addressing the identified findings, management can significantly enhance its governance structure, thereby ensuring sustainable growth within the dynamic market of Colombia Bogotá.</w:t>
      </w:r>
    </w:p>
    <w:p>
      <w:r>
        <w:pict>
          <v:rect style="width:0;height:1.5pt" o:hralign="center" o:hrstd="t" o:hr="t"/>
        </w:pict>
      </w:r>
    </w:p>
    <w:bookmarkStart w:id="37" w:name="appendix"/>
    <w:p>
      <w:pPr>
        <w:pStyle w:val="Heading2"/>
      </w:pPr>
      <w:r>
        <w:t xml:space="preserve">Appendix</w:t>
      </w:r>
    </w:p>
    <w:p>
      <w:pPr>
        <w:pStyle w:val="FirstParagraph"/>
      </w:pPr>
      <w:r>
        <w:rPr>
          <w:bCs/>
          <w:b/>
        </w:rPr>
        <w:t xml:space="preserve">A:</w:t>
      </w:r>
      <w:r>
        <w:t xml:space="preserve">Detailed List of Tested Transactions</w:t>
      </w:r>
    </w:p>
    <w:p>
      <w:pPr>
        <w:pStyle w:val="BodyText"/>
      </w:pPr>
      <w:r>
        <w:rPr>
          <w:bCs/>
          <w:b/>
        </w:rPr>
        <w:t xml:space="preserve">B:</w:t>
      </w:r>
      <w:r>
        <w:t xml:space="preserve">Copies of Relevant Correspondence with Colombian Tax Authorities</w:t>
      </w:r>
    </w:p>
    <w:p>
      <w:pPr>
        <w:pStyle w:val="BodyText"/>
      </w:pPr>
      <w:r>
        <w:rPr>
          <w:bCs/>
          <w:b/>
        </w:rPr>
        <w:t xml:space="preserve">C:</w:t>
      </w:r>
      <w:r>
        <w:t xml:space="preserve">Auditor’s Qualifications and Independence Statement</w:t>
      </w:r>
    </w:p>
    <w:p>
      <w:pPr>
        <w:pStyle w:val="BodyText"/>
      </w:pPr>
      <w:r>
        <w:br/>
      </w:r>
    </w:p>
    <w:bookmarkStart w:id="36" w:name="signed"/>
    <w:p>
      <w:pPr>
        <w:pStyle w:val="Heading3"/>
      </w:pPr>
      <w:r>
        <w:t xml:space="preserve">Signed,</w:t>
      </w:r>
    </w:p>
    <w:p>
      <w:pPr>
        <w:pStyle w:val="FirstParagraph"/>
      </w:pPr>
      <w:r>
        <w:br/>
      </w:r>
    </w:p>
    <w:p>
      <w:pPr>
        <w:pStyle w:val="BodyText"/>
      </w:pPr>
      <w:r>
        <w:rPr>
          <w:iCs/>
          <w:i/>
        </w:rPr>
        <w:t xml:space="preserve">[Name of Lead Auditor]</w:t>
      </w:r>
    </w:p>
    <w:p>
      <w:pPr>
        <w:pStyle w:val="BodyText"/>
      </w:pPr>
      <w:r>
        <w:rPr>
          <w:iCs/>
          <w:i/>
        </w:rPr>
        <w:t xml:space="preserve">Certified Public Accountant (CPA)</w:t>
      </w:r>
    </w:p>
    <w:p>
      <w:pPr>
        <w:pStyle w:val="BodyText"/>
      </w:pPr>
      <w:r>
        <w:rPr>
          <w:iCs/>
          <w:i/>
        </w:rPr>
        <w:t xml:space="preserve">Audit Firm Name</w:t>
      </w:r>
    </w:p>
    <w:p>
      <w:pPr>
        <w:pStyle w:val="BodyText"/>
      </w:pPr>
      <w:r>
        <w:rPr>
          <w:bCs/>
          <w:b/>
        </w:rPr>
        <w:t xml:space="preserve">Bogotá, D.C., Colombia</w:t>
      </w:r>
    </w:p>
    <w:p>
      <w:pPr>
        <w:pStyle w:val="BodyText"/>
      </w:pPr>
      <w:r>
        <w:t xml:space="preserve">```</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 Colombia Bogotá</dc:title>
  <dc:creator/>
  <dc:language>en</dc:language>
  <cp:keywords/>
  <dcterms:created xsi:type="dcterms:W3CDTF">2026-07-29T07:03:03Z</dcterms:created>
  <dcterms:modified xsi:type="dcterms:W3CDTF">2026-07-29T07:03:03Z</dcterms:modified>
</cp:coreProperties>
</file>

<file path=docProps/custom.xml><?xml version="1.0" encoding="utf-8"?>
<Properties xmlns="http://schemas.openxmlformats.org/officeDocument/2006/custom-properties" xmlns:vt="http://schemas.openxmlformats.org/officeDocument/2006/docPropsVTypes"/>
</file>