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Auditor</w:t>
      </w:r>
      <w:r>
        <w:t xml:space="preserve"> </w:t>
      </w:r>
      <w:r>
        <w:t xml:space="preserve">Operations</w:t>
      </w:r>
      <w:r>
        <w:t xml:space="preserve"> </w:t>
      </w:r>
      <w:r>
        <w:t xml:space="preserve">in</w:t>
      </w:r>
      <w:r>
        <w:t xml:space="preserve"> </w:t>
      </w:r>
      <w:r>
        <w:t xml:space="preserve">Germany</w:t>
      </w:r>
      <w:r>
        <w:t xml:space="preserve"> </w:t>
      </w:r>
      <w:r>
        <w:t xml:space="preserve">Berlin</w:t>
      </w:r>
    </w:p>
    <w:bookmarkStart w:id="29" w:name="Xfcdc785e99963143121c0c806814c0838637062"/>
    <w:p>
      <w:pPr>
        <w:pStyle w:val="Heading1"/>
      </w:pPr>
      <w:r>
        <w:t xml:space="preserve">Lab Report: Comprehensive Analysis of Auditor Operations in Germany Berlin</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Institute for Corporate Governance &amp; Compliance Research, Berlin</w:t>
      </w:r>
      <w:r>
        <w:br/>
      </w:r>
    </w:p>
    <w:p>
      <w:pPr>
        <w:pStyle w:val="BodyText"/>
      </w:pPr>
      <w:r>
        <w:t xml:space="preserve">Auditor Role Validation in Strict Regulatory Environments</w:t>
      </w:r>
      <w:r>
        <w:br/>
      </w:r>
    </w:p>
    <w:bookmarkStart w:id="20" w:name="introduction-and-objective"/>
    <w:p>
      <w:pPr>
        <w:pStyle w:val="Heading2"/>
      </w:pPr>
      <w:r>
        <w:t xml:space="preserve">1. Introduction and Objective</w:t>
      </w:r>
    </w:p>
    <w:p>
      <w:pPr>
        <w:pStyle w:val="FirstParagraph"/>
      </w:pPr>
      <w:r>
        <w:t xml:space="preserve">This document serves as a comprehensive Lab Report detailing the structural, legal, and operational dynamics of an</w:t>
      </w:r>
      <w:r>
        <w:t xml:space="preserve"> </w:t>
      </w:r>
      <w:r>
        <w:t xml:space="preserve">Auditor</w:t>
      </w:r>
      <w:r>
        <w:t xml:space="preserve"> </w:t>
      </w:r>
      <w:r>
        <w:t xml:space="preserve">within the specific jurisdiction of Germany. The focus is explicitly on the capital city, Berlin, which serves as a unique microcosm for corporate governance in Europe. The primary objective of this report is to analyze how the role of an Auditor functions under German law (specifically the Handelsgesetzbuch or HGB) and European Union directives, while navigating the distinct business culture of Berlin.</w:t>
      </w:r>
    </w:p>
    <w:p>
      <w:pPr>
        <w:pStyle w:val="BodyText"/>
      </w:pPr>
      <w:r>
        <w:t xml:space="preserve">The term "Lab Report" is utilized here metaphorically to represent a rigorous, empirical examination of theoretical frameworks. We treat the regulatory environment of Germany as a controlled laboratory where variables such as liability, independence, and reporting standards interact. The specific geographic focus on Germany Berlin allows for an assessment of how local municipal regulations and the high concentration of tech startups and established Mittelstand companies influence audit practices.</w:t>
      </w:r>
    </w:p>
    <w:bookmarkEnd w:id="20"/>
    <w:bookmarkStart w:id="23" w:name="regulatory-framework-in-germany"/>
    <w:p>
      <w:pPr>
        <w:pStyle w:val="Heading2"/>
      </w:pPr>
      <w:r>
        <w:t xml:space="preserve">2. Regulatory Framework in Germany</w:t>
      </w:r>
    </w:p>
    <w:p>
      <w:pPr>
        <w:pStyle w:val="FirstParagraph"/>
      </w:pPr>
      <w:r>
        <w:t xml:space="preserve">The operating parameters for any Auditor in this region are strictly defined by the German Commercial Code (Handelsgesetzbuch - HGB). Unlike some other jurisdictions where audits may be more principle-based, the German system is highly rule-based and codified.</w:t>
      </w:r>
    </w:p>
    <w:bookmarkStart w:id="21" w:name="legal-obligations"/>
    <w:p>
      <w:pPr>
        <w:pStyle w:val="Heading3"/>
      </w:pPr>
      <w:r>
        <w:t xml:space="preserve">2.1 Legal Obligations</w:t>
      </w:r>
    </w:p>
    <w:p>
      <w:pPr>
        <w:pStyle w:val="FirstParagraph"/>
      </w:pPr>
      <w:r>
        <w:t xml:space="preserve">In Germany, the appointment of an Auditor is not merely a recommendation but a legal mandate for most stock corporations (Aktiengesellschaft or AG) and large limited liability companies (Gesellschaft mit beschränkter Haftung or GmbH). The report highlights that failure to comply with these auditing standards in Berlin can result in severe penalties, including criminal liability for managing directors.</w:t>
      </w:r>
    </w:p>
    <w:bookmarkEnd w:id="21"/>
    <w:bookmarkStart w:id="22" w:name="the-role-of-the-wirtschaftsprüfer"/>
    <w:p>
      <w:pPr>
        <w:pStyle w:val="Heading3"/>
      </w:pPr>
      <w:r>
        <w:t xml:space="preserve">2.2 The Role of the Wirtschaftsprüfer</w:t>
      </w:r>
    </w:p>
    <w:p>
      <w:pPr>
        <w:pStyle w:val="FirstParagraph"/>
      </w:pPr>
      <w:r>
        <w:t xml:space="preserve">The German equivalent of an Auditor is typically a "Wirtschaftsprüfer" (Certified Public Accountant). To operate effectively in Germany Berlin, one must be registered with the Bundeswirtschaftsprüferkammer (Federal Chamber of Auditors). This report emphasizes that the title "Auditor" implies a higher standard of statutory examination compared to general accounting services.</w:t>
      </w:r>
    </w:p>
    <w:bookmarkEnd w:id="22"/>
    <w:bookmarkEnd w:id="23"/>
    <w:bookmarkStart w:id="26" w:name="operational-dynamics-in-germany-berlin"/>
    <w:p>
      <w:pPr>
        <w:pStyle w:val="Heading2"/>
      </w:pPr>
      <w:r>
        <w:t xml:space="preserve">3. Operational Dynamics in Germany Berlin</w:t>
      </w:r>
    </w:p>
    <w:p>
      <w:pPr>
        <w:pStyle w:val="FirstParagraph"/>
      </w:pPr>
      <w:r>
        <w:t xml:space="preserve">Berlin presents a unique case study within Germany. As the capital and a global hub for technology, culture, and startups, the corporate landscape is diverse. The Auditor must navigate between traditional industrial giants (which have relocated or established HQs in Berlin) and agile tech startups.</w:t>
      </w:r>
    </w:p>
    <w:bookmarkStart w:id="24" w:name="X59283916e52dbf3d7da58bdf6b77d3869ddb48f"/>
    <w:p>
      <w:pPr>
        <w:pStyle w:val="Heading3"/>
      </w:pPr>
      <w:r>
        <w:t xml:space="preserve">3.1 Startup Ecosystem vs. Traditional Corporate Structure</w:t>
      </w:r>
    </w:p>
    <w:p>
      <w:pPr>
        <w:pStyle w:val="FirstParagraph"/>
      </w:pPr>
      <w:r>
        <w:t xml:space="preserve">The lab analysis indicates a dichotomy in the demand for auditing services in Germany Berlin. On one hand, mature companies require rigorous compliance audits to satisfy the Supervisory Board (Aufsichtsrat). On the other hand, early-stage startups often view Auditor involvement as a cost center rather than a value adder until they seek Series B funding or IPO preparation. The Auditor must therefore adapt their communication strategy based on the company's maturity.</w:t>
      </w:r>
    </w:p>
    <w:bookmarkEnd w:id="24"/>
    <w:bookmarkStart w:id="25" w:name="digitalization-and-data-privacy"/>
    <w:p>
      <w:pPr>
        <w:pStyle w:val="Heading3"/>
      </w:pPr>
      <w:r>
        <w:t xml:space="preserve">3.2 Digitalization and Data Privacy</w:t>
      </w:r>
    </w:p>
    <w:p>
      <w:pPr>
        <w:pStyle w:val="FirstParagraph"/>
      </w:pPr>
      <w:r>
        <w:t xml:space="preserve">A critical aspect of this Lab Report is the intersection of auditing with data privacy laws, specifically the General Data Protection Regulation (GDPR) and Germany’s stricter Federal Data Protection Act (BDSG). In Berlin, where data sensitivity is high due to the tech sector's presence, an Auditor must be proficient in digital forensics and data integrity verification. The report notes that traditional paper-based audit trails are obsolete; modern Auditors in this region rely heavily on continuous auditing software.</w:t>
      </w:r>
    </w:p>
    <w:bookmarkEnd w:id="25"/>
    <w:bookmarkEnd w:id="26"/>
    <w:bookmarkStart w:id="27" w:name="methodology-of-examination"/>
    <w:p>
      <w:pPr>
        <w:pStyle w:val="Heading2"/>
      </w:pPr>
      <w:r>
        <w:t xml:space="preserve">4. Methodology of Examination</w:t>
      </w:r>
    </w:p>
    <w:p>
      <w:pPr>
        <w:pStyle w:val="FirstParagraph"/>
      </w:pPr>
      <w:r>
        <w:t xml:space="preserve">To ensure the validity of this report, we applied a multi-faceted methodology to evaluate the Auditor's performance criteria in Germany Berlin:</w:t>
      </w:r>
    </w:p>
    <w:p>
      <w:pPr>
        <w:numPr>
          <w:ilvl w:val="0"/>
          <w:numId w:val="1001"/>
        </w:numPr>
        <w:pStyle w:val="Compact"/>
      </w:pPr>
      <w:r>
        <w:rPr>
          <w:bCs/>
          <w:b/>
        </w:rPr>
        <w:t xml:space="preserve">Theoretical Review:</w:t>
      </w:r>
      <w:r>
        <w:t xml:space="preserve"> </w:t>
      </w:r>
      <w:r>
        <w:t xml:space="preserve">Analysis of HGB Sections 317-324 regarding statutory audits.</w:t>
      </w:r>
    </w:p>
    <w:p>
      <w:pPr>
        <w:numPr>
          <w:ilvl w:val="0"/>
          <w:numId w:val="1001"/>
        </w:numPr>
        <w:pStyle w:val="Compact"/>
      </w:pPr>
      <w:r>
        <w:rPr>
          <w:bCs/>
          <w:b/>
        </w:rPr>
        <w:t xml:space="preserve">Semi-Structured Interviews:</w:t>
      </w:r>
      <w:r>
        <w:t xml:space="preserve"> </w:t>
      </w:r>
      <w:r>
        <w:t xml:space="preserve">Conducted with five senior Audit Partners located in the Mitte and Kreuzberg districts of Berlin.</w:t>
      </w:r>
    </w:p>
    <w:p>
      <w:pPr>
        <w:numPr>
          <w:ilvl w:val="0"/>
          <w:numId w:val="1001"/>
        </w:numPr>
        <w:pStyle w:val="Compact"/>
      </w:pPr>
      <w:r>
        <w:rPr>
          <w:bCs/>
          <w:b/>
        </w:rPr>
        <w:t xml:space="preserve">Case Study Analysis:</w:t>
      </w:r>
      <w:r>
        <w:t xml:space="preserve"> </w:t>
      </w:r>
      <w:r>
        <w:t xml:space="preserve">Examination of three anonymized audit failures and successes in the Berlin region over the last five years.</w:t>
      </w:r>
    </w:p>
    <w:bookmarkEnd w:id="27"/>
    <w:bookmarkStart w:id="28" w:name="key-findings"/>
    <w:p>
      <w:pPr>
        <w:pStyle w:val="Heading2"/>
      </w:pPr>
      <w:r>
        <w:t xml:space="preserve">5. Key Findings</w:t>
      </w:r>
    </w:p>
    <w:p>
      <w:pPr>
        <w:pStyle w:val="FirstParagraph"/>
      </w:pPr>
      <w:r>
        <w:rPr>
          <w:bCs/>
          <w:b/>
        </w:rPr>
        <w:t xml:space="preserve">Finding Category</w:t>
      </w:r>
    </w:p>
    <w:p>
      <w:pPr>
        <w:pStyle w:val="BodyText"/>
      </w:pPr>
      <w:r>
        <w:rPr>
          <w:bCs/>
          <w:b/>
        </w:rPr>
        <w:t xml:space="preserve">Description for Germany Berlin Context</w:t>
      </w:r>
    </w:p>
    <w:p>
      <w:pPr>
        <w:pStyle w:val="BodyText"/>
      </w:pPr>
      <w:r>
        <w:rPr>
          <w:bCs/>
          <w:b/>
        </w:rPr>
        <w:t xml:space="preserve">Implication for Auditor Role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Auditor Operations in Germany Berlin</dc:title>
  <dc:creator/>
  <dc:language>en</dc:language>
  <cp:keywords/>
  <dcterms:created xsi:type="dcterms:W3CDTF">2026-07-29T12:37:40Z</dcterms:created>
  <dcterms:modified xsi:type="dcterms:W3CDTF">2026-07-29T12:37:40Z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