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Auditor</w:t>
      </w:r>
      <w:r>
        <w:t xml:space="preserve"> </w:t>
      </w:r>
      <w:r>
        <w:t xml:space="preserve">Operations</w:t>
      </w:r>
      <w:r>
        <w:t xml:space="preserve"> </w:t>
      </w:r>
      <w:r>
        <w:t xml:space="preserve">in</w:t>
      </w:r>
      <w:r>
        <w:t xml:space="preserve"> </w:t>
      </w:r>
      <w:r>
        <w:t xml:space="preserve">Germany</w:t>
      </w:r>
      <w:r>
        <w:t xml:space="preserve"> </w:t>
      </w:r>
      <w:r>
        <w:t xml:space="preserve">Frankfurt</w:t>
      </w:r>
    </w:p>
    <w:bookmarkStart w:id="29" w:name="X81d0c1ad5a162b68173e18e2e20eb5ccb61f75d"/>
    <w:p>
      <w:pPr>
        <w:pStyle w:val="Heading1"/>
      </w:pPr>
      <w:r>
        <w:t xml:space="preserve">Laboratory Report: Comprehensive Analysis of Auditor Operations in Germany Frankfurt</w:t>
      </w:r>
    </w:p>
    <w:p>
      <w:pPr>
        <w:pStyle w:val="FirstParagraph"/>
      </w:pPr>
      <w:r>
        <w:rPr>
          <w:bCs/>
          <w:b/>
        </w:rPr>
        <w:t xml:space="preserve">Date:</w:t>
      </w:r>
      <w:r>
        <w:t xml:space="preserve"> </w:t>
      </w:r>
      <w:r>
        <w:t xml:space="preserve">October 26, 2023</w:t>
      </w:r>
    </w:p>
    <w:p>
      <w:pPr>
        <w:pStyle w:val="BodyText"/>
      </w:pPr>
      <w:r>
        <w:rPr>
          <w:bCs/>
          <w:b/>
        </w:rPr>
        <w:t xml:space="preserve">Jurisdiction:</w:t>
      </w:r>
      <w:r>
        <w:t xml:space="preserve"> </w:t>
      </w:r>
      <w:r>
        <w:t xml:space="preserve">Federal Republic of Germany / Frankfurt am Main Region</w:t>
      </w:r>
    </w:p>
    <w:p>
      <w:pPr>
        <w:pStyle w:val="BodyText"/>
      </w:pPr>
      <w:r>
        <w:rPr>
          <w:bCs/>
          <w:b/>
        </w:rPr>
        <w:t xml:space="preserve">Mission Profile:</w:t>
      </w:r>
    </w:p>
    <w:p>
      <w:pPr>
        <w:pStyle w:val="BodyText"/>
      </w:pPr>
      <w:r>
        <w:t xml:space="preserve">The primary objective of this laboratory report is to conduct a rigorous evaluation of the operational, regulatory, and procedural frameworks governing an</w:t>
      </w:r>
      <w:r>
        <w:t xml:space="preserve"> </w:t>
      </w:r>
      <w:r>
        <w:rPr>
          <w:iCs/>
          <w:i/>
        </w:rPr>
        <w:t xml:space="preserve">Auditor</w:t>
      </w:r>
      <w:r>
        <w:t xml:space="preserve"> </w:t>
      </w:r>
      <w:r>
        <w:t xml:space="preserve">within the high-stakes financial hub of</w:t>
      </w:r>
      <w:r>
        <w:t xml:space="preserve"> </w:t>
      </w:r>
      <w:r>
        <w:rPr>
          <w:iCs/>
          <w:i/>
        </w:rPr>
        <w:t xml:space="preserve">Germany Frankfurt</w:t>
      </w:r>
      <w:r>
        <w:t xml:space="preserve">. This document serves as both an investigative instrument and a compliance verification tool.</w:t>
      </w:r>
    </w:p>
    <w:p>
      <w:pPr>
        <w:pStyle w:val="BodyText"/>
      </w:pPr>
      <w:r>
        <w:rPr>
          <w:bCs/>
          <w:b/>
        </w:rPr>
        <w:t xml:space="preserve">Status:</w:t>
      </w:r>
    </w:p>
    <w:p>
      <w:pPr>
        <w:pStyle w:val="BodyText"/>
      </w:pPr>
      <w:r>
        <w:t xml:space="preserve">Critical / Final Review Required</w:t>
      </w:r>
    </w:p>
    <w:bookmarkStart w:id="20" w:name="introduction-and-scope-definition"/>
    <w:p>
      <w:pPr>
        <w:pStyle w:val="Heading2"/>
      </w:pPr>
      <w:r>
        <w:t xml:space="preserve">1.0 Introduction and Scope Definition</w:t>
      </w:r>
    </w:p>
    <w:p>
      <w:pPr>
        <w:pStyle w:val="FirstParagraph"/>
      </w:pPr>
      <w:r>
        <w:t xml:space="preserve">The city of Frankfurt am Main, often referred to as the financial capital of continental Europe, presents a unique environment for compliance professionals. As the host to the European Central Bank (ECB) and numerous major international banks, the regulatory landscape in</w:t>
      </w:r>
      <w:r>
        <w:t xml:space="preserve"> </w:t>
      </w:r>
      <w:r>
        <w:rPr>
          <w:iCs/>
          <w:i/>
        </w:rPr>
        <w:t xml:space="preserve">Germany Frankfurt</w:t>
      </w:r>
      <w:r>
        <w:t xml:space="preserve"> </w:t>
      </w:r>
      <w:r>
        <w:t xml:space="preserve">is exceptionally dense and complex. Consequently, this laboratory report focuses on dissecting the specific role of an</w:t>
      </w:r>
      <w:r>
        <w:t xml:space="preserve"> </w:t>
      </w:r>
      <w:r>
        <w:rPr>
          <w:iCs/>
          <w:i/>
        </w:rPr>
        <w:t xml:space="preserve">Auditor</w:t>
      </w:r>
      <w:r>
        <w:t xml:space="preserve"> </w:t>
      </w:r>
      <w:r>
        <w:t xml:space="preserve">within this ecosystem.</w:t>
      </w:r>
    </w:p>
    <w:p>
      <w:pPr>
        <w:pStyle w:val="BodyText"/>
      </w:pPr>
      <w:r>
        <w:t xml:space="preserve">The purpose of this investigation is not merely to list duties but to analyze how an auditor must adapt their methodology when operating in Frankfurt. The data gathered herein will inform strategic decisions regarding hiring, process optimization, and risk management for entities headquartered or operating significantly within the</w:t>
      </w:r>
      <w:r>
        <w:t xml:space="preserve"> </w:t>
      </w:r>
      <w:r>
        <w:rPr>
          <w:iCs/>
          <w:i/>
        </w:rPr>
        <w:t xml:space="preserve">Germany Frankfurt</w:t>
      </w:r>
      <w:r>
        <w:t xml:space="preserve"> </w:t>
      </w:r>
      <w:r>
        <w:t xml:space="preserve">district. The core thesis suggests that a standard international auditing approach is insufficient; rather, a specialized adaptation to German statutory law (HGB) and EU banking regulations is mandatory.</w:t>
      </w:r>
    </w:p>
    <w:bookmarkEnd w:id="20"/>
    <w:bookmarkStart w:id="21" w:name="Xa499d26dee9d18925c2a194bd4ad8ccbf6cbf4f"/>
    <w:p>
      <w:pPr>
        <w:pStyle w:val="Heading2"/>
      </w:pPr>
      <w:r>
        <w:t xml:space="preserve">2.0 Regulatory Environment in Germany Frankfurt</w:t>
      </w:r>
    </w:p>
    <w:p>
      <w:pPr>
        <w:pStyle w:val="FirstParagraph"/>
      </w:pPr>
      <w:r>
        <w:t xml:space="preserve">To understand the function of the</w:t>
      </w:r>
      <w:r>
        <w:t xml:space="preserve"> </w:t>
      </w:r>
      <w:r>
        <w:rPr>
          <w:iCs/>
          <w:i/>
        </w:rPr>
        <w:t xml:space="preserve">Auditor</w:t>
      </w:r>
      <w:r>
        <w:t xml:space="preserve">, one must first analyze the regulatory bedrock upon which they operate. In</w:t>
      </w:r>
      <w:r>
        <w:t xml:space="preserve"> </w:t>
      </w:r>
      <w:r>
        <w:rPr>
          <w:iCs/>
          <w:i/>
        </w:rPr>
        <w:t xml:space="preserve">Germany Frankfurt</w:t>
      </w:r>
      <w:r>
        <w:t xml:space="preserve">, auditors are bound by a triad of legal frameworks:</w:t>
      </w:r>
    </w:p>
    <w:p>
      <w:pPr>
        <w:numPr>
          <w:ilvl w:val="0"/>
          <w:numId w:val="1001"/>
        </w:numPr>
        <w:pStyle w:val="Compact"/>
      </w:pPr>
      <w:r>
        <w:rPr>
          <w:bCs/>
          <w:b/>
        </w:rPr>
        <w:t xml:space="preserve">The German Commercial Code (Handelsgesetzbuch - HGB):</w:t>
      </w:r>
      <w:r>
        <w:t xml:space="preserve">This is the primary domestic law governing accounting standards and auditing procedures. The auditor must ensure strict adherence to §§ 316 et seq. HGB, which dictate the scope and methodology of external audits.</w:t>
      </w:r>
    </w:p>
    <w:p>
      <w:pPr>
        <w:numPr>
          <w:ilvl w:val="0"/>
          <w:numId w:val="1001"/>
        </w:numPr>
        <w:pStyle w:val="Compact"/>
      </w:pPr>
      <w:r>
        <w:rPr>
          <w:bCs/>
          <w:b/>
        </w:rPr>
        <w:t xml:space="preserve">The German Tax Code (Abgabenordnung - AO):</w:t>
      </w:r>
      <w:r>
        <w:t xml:space="preserve">Auditors in Frankfurt often perform dual roles that intersect with tax compliance. Understanding the implications of tax audits under the AO is critical for any auditor operating in this jurisdiction.</w:t>
      </w:r>
    </w:p>
    <w:p>
      <w:pPr>
        <w:numPr>
          <w:ilvl w:val="0"/>
          <w:numId w:val="1001"/>
        </w:numPr>
        <w:pStyle w:val="Compact"/>
      </w:pPr>
      <w:r>
        <w:rPr>
          <w:bCs/>
          <w:b/>
        </w:rPr>
        <w:t xml:space="preserve">European Banking Supervision (SSM):</w:t>
      </w:r>
      <w:r>
        <w:t xml:space="preserve"> </w:t>
      </w:r>
      <w:r>
        <w:t xml:space="preserve">Given Frankfurt's status, many audited entities are significant institutions supervised by the ECB via the Single Supervisory Mechanism. This introduces an EU-layer of scrutiny that a domestic auditor must navigate carefully.</w:t>
      </w:r>
    </w:p>
    <w:bookmarkEnd w:id="21"/>
    <w:bookmarkStart w:id="24" w:name="X245b8a98d82fb82b58b96c9b5971c354e319554"/>
    <w:p>
      <w:pPr>
        <w:pStyle w:val="Heading2"/>
      </w:pPr>
      <w:r>
        <w:t xml:space="preserve">3.0 Methodological Analysis: The Auditor's Toolkit</w:t>
      </w:r>
    </w:p>
    <w:p>
      <w:pPr>
        <w:pStyle w:val="FirstParagraph"/>
      </w:pPr>
      <w:r>
        <w:t xml:space="preserve">This section details the practical application of auditing techniques by an</w:t>
      </w:r>
      <w:r>
        <w:t xml:space="preserve"> </w:t>
      </w:r>
      <w:r>
        <w:rPr>
          <w:iCs/>
          <w:i/>
        </w:rPr>
        <w:t xml:space="preserve">Auditor</w:t>
      </w:r>
      <w:r>
        <w:t xml:space="preserve">. Unlike some jurisdictions that rely heavily on judgment-based sampling, German auditors in Frankfurt are often required to provide a higher degree of precision due to conservative accounting principles prevalent in the region.</w:t>
      </w:r>
    </w:p>
    <w:bookmarkStart w:id="22" w:name="risk-assessment-and-materiality"/>
    <w:p>
      <w:pPr>
        <w:pStyle w:val="Heading3"/>
      </w:pPr>
      <w:r>
        <w:t xml:space="preserve">3.1 Risk Assessment and Materiality</w:t>
      </w:r>
    </w:p>
    <w:p>
      <w:pPr>
        <w:pStyle w:val="FirstParagraph"/>
      </w:pPr>
      <w:r>
        <w:t xml:space="preserve">The auditor must first identify material risks specific to the Frankfurt market. This includes exposure to interest rate fluctuations, cross-border liquidity issues, and cyber-security vulnerabilities within digital banking infrastructure. The laboratory report indicates that auditors in this region adopt a "zero-tolerance" approach to governance failures.</w:t>
      </w:r>
    </w:p>
    <w:bookmarkEnd w:id="22"/>
    <w:bookmarkStart w:id="23" w:name="documentation-and-evidence-gathering"/>
    <w:p>
      <w:pPr>
        <w:pStyle w:val="Heading3"/>
      </w:pPr>
      <w:r>
        <w:t xml:space="preserve">3.2 Documentation and Evidence Gathering</w:t>
      </w:r>
    </w:p>
    <w:p>
      <w:pPr>
        <w:pStyle w:val="FirstParagraph"/>
      </w:pPr>
      <w:r>
        <w:t xml:space="preserve">In the context of an</w:t>
      </w:r>
      <w:r>
        <w:t xml:space="preserve"> </w:t>
      </w:r>
      <w:r>
        <w:rPr>
          <w:iCs/>
          <w:i/>
        </w:rPr>
        <w:t xml:space="preserve">Auditor</w:t>
      </w:r>
      <w:r>
        <w:t xml:space="preserve">, documentation is paramount. In</w:t>
      </w:r>
    </w:p>
    <w:p>
      <w:pPr>
        <w:pStyle w:val="BodyText"/>
      </w:pPr>
      <w:r>
        <w:t xml:space="preserve">Germany Frankfurt, the standard for evidence is exceptionally high due to historical scrutiny of financial scandals. The auditor must ensure that all working papers are not only accurate but also defensible in potential legal proceedings under German labor and corporate law.</w:t>
      </w:r>
    </w:p>
    <w:bookmarkEnd w:id="23"/>
    <w:bookmarkEnd w:id="24"/>
    <w:bookmarkStart w:id="25" w:name="Xfef27c3210ea5def991ed0612d177dfb9e4d741"/>
    <w:p>
      <w:pPr>
        <w:pStyle w:val="Heading2"/>
      </w:pPr>
      <w:r>
        <w:t xml:space="preserve">4.0 Operational Challenges and Cultural Nuances</w:t>
      </w:r>
    </w:p>
    <w:p>
      <w:pPr>
        <w:pStyle w:val="FirstParagraph"/>
      </w:pPr>
      <w:r>
        <w:t xml:space="preserve">An often-overlooked aspect of the auditor's role is the cultural interface. Operating as an auditor in</w:t>
      </w:r>
      <w:r>
        <w:t xml:space="preserve"> </w:t>
      </w:r>
      <w:r>
        <w:rPr>
          <w:iCs/>
          <w:i/>
        </w:rPr>
        <w:t xml:space="preserve">Germany Frankfurt</w:t>
      </w:r>
      <w:r>
        <w:t xml:space="preserve">, requires more than technical proficiency; it demands cultural intelligence.</w:t>
      </w:r>
    </w:p>
    <w:p>
      <w:pPr>
        <w:numPr>
          <w:ilvl w:val="0"/>
          <w:numId w:val="1002"/>
        </w:numPr>
        <w:pStyle w:val="Compact"/>
      </w:pPr>
      <w:r>
        <w:rPr>
          <w:bCs/>
          <w:b/>
        </w:rPr>
        <w:t xml:space="preserve">Languages:</w:t>
      </w:r>
      <w:r>
        <w:t xml:space="preserve"> </w:t>
      </w:r>
      <w:r>
        <w:t xml:space="preserve">While English is the lingua franca of international finance in Frankfurt, statutory audits for local entities often require fluency in German. The auditor must be capable of interpreting contracts and internal communications in German to ensure accuracy.</w:t>
      </w:r>
    </w:p>
    <w:p>
      <w:pPr>
        <w:numPr>
          <w:ilvl w:val="0"/>
          <w:numId w:val="1002"/>
        </w:numPr>
        <w:pStyle w:val="Compact"/>
      </w:pPr>
      <w:r>
        <w:rPr>
          <w:bCs/>
          <w:b/>
        </w:rPr>
        <w:t xml:space="preserve">Silence and Precision:</w:t>
      </w:r>
      <w:r>
        <w:t xml:space="preserve"> </w:t>
      </w:r>
      <w:r>
        <w:t xml:space="preserve">Business culture in Germany values precision and directness. An auditor who is vague or overly conversational may face resistance from client management. The laboratory report recommends that auditors maintain a formal, structured communication style.</w:t>
      </w:r>
    </w:p>
    <w:bookmarkEnd w:id="25"/>
    <w:bookmarkStart w:id="26" w:name="technological-integration"/>
    <w:p>
      <w:pPr>
        <w:pStyle w:val="Heading2"/>
      </w:pPr>
      <w:r>
        <w:t xml:space="preserve">5.0 Technological Integration</w:t>
      </w:r>
    </w:p>
    <w:p>
      <w:pPr>
        <w:pStyle w:val="FirstParagraph"/>
      </w:pPr>
      <w:r>
        <w:t xml:space="preserve">The modern auditor cannot rely solely on manual testing. In</w:t>
      </w:r>
      <w:r>
        <w:t xml:space="preserve"> </w:t>
      </w:r>
      <w:r>
        <w:rPr>
          <w:iCs/>
          <w:i/>
        </w:rPr>
        <w:t xml:space="preserve">Germany Frankfurt</w:t>
      </w:r>
      <w:r>
        <w:t xml:space="preserve">, where fintech and traditional banking converge, auditors are increasingly required to utilize data analytics tools. This report identifies a gap in current training programs for auditors regarding AI-driven audit tools. To remain effective, the auditor must integrate continuous auditing methodologies that can process large datasets from high-frequency trading systems common in the Frankfurt Stock Exchange environment.</w:t>
      </w:r>
    </w:p>
    <w:bookmarkEnd w:id="26"/>
    <w:bookmarkStart w:id="27" w:name="risk-mitigation-and-compliance"/>
    <w:p>
      <w:pPr>
        <w:pStyle w:val="Heading2"/>
      </w:pPr>
      <w:r>
        <w:t xml:space="preserve">6.0 Risk Mitigation and Compliance</w:t>
      </w:r>
    </w:p>
    <w:p>
      <w:pPr>
        <w:pStyle w:val="FirstParagraph"/>
      </w:pPr>
      <w:r>
        <w:t xml:space="preserve">The laboratory report highlights several key risks associated with auditor operations:</w:t>
      </w:r>
    </w:p>
    <w:p>
      <w:pPr>
        <w:numPr>
          <w:ilvl w:val="0"/>
          <w:numId w:val="1003"/>
        </w:numPr>
        <w:pStyle w:val="Compact"/>
      </w:pPr>
      <w:r>
        <w:rPr>
          <w:bCs/>
          <w:b/>
        </w:rPr>
        <w:t xml:space="preserve">Liability Risks:</w:t>
      </w:r>
    </w:p>
    <w:p>
      <w:pPr>
        <w:numPr>
          <w:ilvl w:val="0"/>
          <w:numId w:val="1003"/>
        </w:numPr>
        <w:pStyle w:val="Compact"/>
      </w:pPr>
      <w:r>
        <w:rPr>
          <w:bCs/>
          <w:b/>
        </w:rPr>
        <w:t xml:space="preserve">Data Privacy (GDPR):</w:t>
      </w:r>
      <w:r>
        <w:t xml:space="preserve"> </w:t>
      </w:r>
      <w:r>
        <w:t xml:space="preserve">Operating within the EU, the auditor is strictly bound by the General Data Protection Regulation. In Frankfurt, where financial data is sensitive, ensuring GDPR compliance during fieldwork is non-negotiable for any auditor.</w:t>
      </w:r>
    </w:p>
    <w:bookmarkEnd w:id="27"/>
    <w:bookmarkStart w:id="28" w:name="conclusion-and-recommendations"/>
    <w:p>
      <w:pPr>
        <w:pStyle w:val="Heading2"/>
      </w:pPr>
      <w:r>
        <w:t xml:space="preserve">7.0 Conclusion and Recommendations</w:t>
      </w:r>
    </w:p>
    <w:p>
      <w:pPr>
        <w:pStyle w:val="FirstParagraph"/>
      </w:pPr>
      <w:r>
        <w:t xml:space="preserve">In conclusion, this laboratory report underscores that the role of an</w:t>
      </w:r>
      <w:r>
        <w:t xml:space="preserve"> </w:t>
      </w:r>
      <w:r>
        <w:rPr>
          <w:iCs/>
          <w:i/>
        </w:rPr>
        <w:t xml:space="preserve">Auditor</w:t>
      </w:r>
      <w:r>
        <w:t xml:space="preserve"> </w:t>
      </w:r>
      <w:r>
        <w:t xml:space="preserve">in</w:t>
      </w:r>
      <w:r>
        <w:t xml:space="preserve"> </w:t>
      </w:r>
      <w:r>
        <w:rPr>
          <w:iCs/>
          <w:i/>
        </w:rPr>
        <w:t xml:space="preserve">Germany Frankfurt</w:t>
      </w:r>
    </w:p>
    <w:p>
      <w:pPr>
        <w:pStyle w:val="BodyText"/>
      </w:pPr>
      <w:r>
        <w:rPr>
          <w:bCs/>
          <w:b/>
        </w:rPr>
        <w:t xml:space="preserve">Recommendations:</w:t>
      </w:r>
    </w:p>
    <w:p>
      <w:pPr>
        <w:numPr>
          <w:ilvl w:val="0"/>
          <w:numId w:val="1004"/>
        </w:numPr>
        <w:pStyle w:val="Compact"/>
      </w:pPr>
      <w:r>
        <w:t xml:space="preserve">Audit firms targeting the Frankfurt market must invest in training that specifically addresses German statutory law and local cultural nuances.</w:t>
      </w:r>
    </w:p>
    <w:p>
      <w:pPr>
        <w:numPr>
          <w:ilvl w:val="0"/>
          <w:numId w:val="1004"/>
        </w:numPr>
        <w:pStyle w:val="Compact"/>
      </w:pPr>
      <w:r>
        <w:t xml:space="preserve">Auditors should adopt advanced data analytics capabilities to handle the volume and velocity of financial data characteristic of Frankfurt’s banking sector.</w:t>
      </w:r>
    </w:p>
    <w:p>
      <w:pPr>
        <w:pStyle w:val="FirstParagraph"/>
      </w:pPr>
      <w:r>
        <w:t xml:space="preserve">This document serves as a foundational reference for all stakeholders involved in the oversight of financial reporting within this critical economic zone. Further field testing is recommended to validate these findings against specific client engagements.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Auditor Operations in Germany Frankfurt</dc:title>
  <dc:creator/>
  <dc:language>en</dc:language>
  <cp:keywords/>
  <dcterms:created xsi:type="dcterms:W3CDTF">2026-07-29T11:16:24Z</dcterms:created>
  <dcterms:modified xsi:type="dcterms:W3CDTF">2026-07-29T11:16:24Z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