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Audit</w:t>
      </w:r>
      <w:r>
        <w:t xml:space="preserve"> </w:t>
      </w:r>
      <w:r>
        <w:t xml:space="preserve">Protocols</w:t>
      </w:r>
      <w:r>
        <w:t xml:space="preserve"> </w:t>
      </w:r>
      <w:r>
        <w:t xml:space="preserve">in</w:t>
      </w:r>
      <w:r>
        <w:t xml:space="preserve"> </w:t>
      </w:r>
      <w:r>
        <w:t xml:space="preserve">Iraq</w:t>
      </w:r>
      <w:r>
        <w:t xml:space="preserve"> </w:t>
      </w:r>
      <w:r>
        <w:t xml:space="preserve">Baghdad</w:t>
      </w:r>
    </w:p>
    <w:bookmarkStart w:id="29" w:name="X9d39b5a33c59eec468c35da5c971e7b1d568da7"/>
    <w:p>
      <w:pPr>
        <w:pStyle w:val="Heading1"/>
      </w:pPr>
      <w:r>
        <w:t xml:space="preserve">Laboratory Report on Fiscal and Operational Audit Mechanisms</w:t>
      </w:r>
    </w:p>
    <w:p>
      <w:pPr>
        <w:pStyle w:val="FirstParagraph"/>
      </w:pPr>
      <w:r>
        <w:rPr>
          <w:bCs/>
          <w:b/>
        </w:rPr>
        <w:t xml:space="preserve">Date:</w:t>
      </w:r>
      <w:r>
        <w:t xml:space="preserve"> </w:t>
      </w:r>
      <w:r>
        <w:t xml:space="preserve">May 24, 2024</w:t>
      </w:r>
    </w:p>
    <w:p>
      <w:pPr>
        <w:pStyle w:val="BodyText"/>
      </w:pPr>
      <w:r>
        <w:rPr>
          <w:bCs/>
          <w:b/>
        </w:rPr>
        <w:t xml:space="preserve">Jurisdiction:</w:t>
      </w:r>
      <w:r>
        <w:t xml:space="preserve"> </w:t>
      </w:r>
      <w:r>
        <w:t xml:space="preserve">Iraq Baghdad</w:t>
      </w:r>
    </w:p>
    <w:p>
      <w:pPr>
        <w:pStyle w:val="BodyText"/>
      </w:pPr>
      <w:r>
        <w:rPr>
          <w:bCs/>
          <w:b/>
        </w:rPr>
        <w:t xml:space="preserve">Auditor ID:</w:t>
      </w:r>
      <w:r>
        <w:t xml:space="preserve"> </w:t>
      </w:r>
      <w:r>
        <w:t xml:space="preserve">AB-9981-INTL</w:t>
      </w:r>
    </w:p>
    <w:bookmarkStart w:id="20" w:name="executive-summary-and-introduction"/>
    <w:p>
      <w:pPr>
        <w:pStyle w:val="Heading2"/>
      </w:pPr>
      <w:r>
        <w:t xml:space="preserve">1. Executive Summary and Introduction</w:t>
      </w:r>
    </w:p>
    <w:p>
      <w:pPr>
        <w:pStyle w:val="FirstParagraph"/>
      </w:pPr>
      <w:r>
        <w:t xml:space="preserve">This laboratory report serves as a comprehensive documentation of the audit procedures, findings, and strategic recommendations implemented within the complex economic landscape of Iraq Baghdad. The primary objective of this study is to analyze the efficacy of modern auditing standards when applied to local enterprises operating in one of the Middle East's most dynamic financial hubs. As Iraq Baghdad continues to evolve from a post-conflict reconstruction phase into a period of sustained economic growth and digital transformation, the role of the professional Auditor has become increasingly critical. This document details how rigorous fiscal scrutiny, combined with an understanding of local regulatory frameworks, ensures transparency and accountability in business operations within this region.</w:t>
      </w:r>
    </w:p>
    <w:p>
      <w:pPr>
        <w:pStyle w:val="BodyText"/>
      </w:pPr>
      <w:r>
        <w:t xml:space="preserve">The term "Auditor" in this context does not refer merely to a number-cruncher but to a strategic analyst who navigates the intricate web of international financial reporting standards (IFRS) alongside the specific statutory requirements imposed by Iraqi law. The unique geopolitical and economic positioning of Iraq Baghdad necessitates a specialized approach to auditing, one that addresses currency volatility, infrastructure limitations, and evolving anti-corruption measures.</w:t>
      </w:r>
    </w:p>
    <w:bookmarkEnd w:id="20"/>
    <w:bookmarkStart w:id="21" w:name="methodology-and-scope-of-audit"/>
    <w:p>
      <w:pPr>
        <w:pStyle w:val="Heading2"/>
      </w:pPr>
      <w:r>
        <w:t xml:space="preserve">2. Methodology and Scope of Audit</w:t>
      </w:r>
    </w:p>
    <w:p>
      <w:pPr>
        <w:pStyle w:val="FirstParagraph"/>
      </w:pPr>
      <w:r>
        <w:t xml:space="preserve">The scope of this laboratory report covers a twelve-month period of financial activity for three distinct entities located in the central districts of Iraq Baghdad. The methodology employed combines traditional substantive testing with data analytics to detect anomalies that may indicate fraud or mismanagement. Given the specific conditions in Iraq Baghdad, the audit team utilized a hybrid approach:</w:t>
      </w:r>
    </w:p>
    <w:p>
      <w:pPr>
        <w:numPr>
          <w:ilvl w:val="0"/>
          <w:numId w:val="1001"/>
        </w:numPr>
        <w:pStyle w:val="Compact"/>
      </w:pPr>
      <w:r>
        <w:rPr>
          <w:bCs/>
          <w:b/>
        </w:rPr>
        <w:t xml:space="preserve">Quantitative Analysis:</w:t>
      </w:r>
      <w:r>
        <w:t xml:space="preserve"> </w:t>
      </w:r>
      <w:r>
        <w:t xml:space="preserve">Examination of ledgers, bank reconciliations, and tax filings.</w:t>
      </w:r>
    </w:p>
    <w:p>
      <w:pPr>
        <w:numPr>
          <w:ilvl w:val="0"/>
          <w:numId w:val="1001"/>
        </w:numPr>
        <w:pStyle w:val="Compact"/>
      </w:pPr>
      <w:r>
        <w:rPr>
          <w:bCs/>
          <w:b/>
        </w:rPr>
        <w:t xml:space="preserve">S qualitative Assessment:</w:t>
      </w:r>
      <w:r>
        <w:t xml:space="preserve"> </w:t>
      </w:r>
      <w:r>
        <w:t xml:space="preserve">Interviews with management personnel to gauge the effectiveness of internal controls.</w:t>
      </w:r>
    </w:p>
    <w:p>
      <w:pPr>
        <w:numPr>
          <w:ilvl w:val="0"/>
          <w:numId w:val="1001"/>
        </w:numPr>
        <w:pStyle w:val="Compact"/>
      </w:pPr>
      <w:r>
        <w:t xml:space="preserve">Digital Forensics: Use of specialized software to trace digital transactions, ensuring compliance with Central Bank of Iraq regulations.</w:t>
      </w:r>
    </w:p>
    <w:p>
      <w:pPr>
        <w:pStyle w:val="FirstParagraph"/>
      </w:pPr>
      <w:r>
        <w:t xml:space="preserve">The Auditor was required to adapt standard protocols to account for local practices. For instance, while cash transactions remain prevalent in certain sectors of Iraq Baghdad, the Auditor implemented strict verification procedures for all non-digital payments to mitigate the risk of unrecorded liabilities. Furthermore, the audit scope included a review of procurement processes, which are often high-risk areas for corruption. By focusing on these high-risk zones within Iraq Baghdad, the Auditor aims to provide stakeholders with a clear picture of operational integrity.</w:t>
      </w:r>
    </w:p>
    <w:bookmarkEnd w:id="21"/>
    <w:bookmarkStart w:id="25" w:name="observations-and-findings"/>
    <w:p>
      <w:pPr>
        <w:pStyle w:val="Heading2"/>
      </w:pPr>
      <w:r>
        <w:t xml:space="preserve">3. Observations and Findings</w:t>
      </w:r>
    </w:p>
    <w:p>
      <w:pPr>
        <w:pStyle w:val="FirstParagraph"/>
      </w:pPr>
      <w:r>
        <w:t xml:space="preserve">The findings presented in this laboratory report highlight both challenges and successes encountered during the audit process in Iraq Baghdad. The following key observations were recorded:</w:t>
      </w:r>
    </w:p>
    <w:bookmarkStart w:id="22" w:name="regulatory-compliance"/>
    <w:p>
      <w:pPr>
        <w:pStyle w:val="Heading3"/>
      </w:pPr>
      <w:r>
        <w:t xml:space="preserve">3.1 Regulatory Compliance</w:t>
      </w:r>
    </w:p>
    <w:p>
      <w:pPr>
        <w:pStyle w:val="FirstParagraph"/>
      </w:pPr>
      <w:r>
        <w:t xml:space="preserve">The entities audited demonstrated a moderate level of compliance with the Iraqi Companies Law No. 21 of 1997 and subsequent amendments. However, discrepancies were noted regarding value-added tax (VAT) reporting, which was introduced more recently in Iraq Baghdad to diversify revenue streams away from oil dependency. The Auditor identified that several companies struggled to interpret the new VAT regulations correctly, leading to potential under-reporting. This finding underscores the need for continuous professional development for local Auditors and finance teams.</w:t>
      </w:r>
    </w:p>
    <w:bookmarkEnd w:id="22"/>
    <w:bookmarkStart w:id="23" w:name="internal-control-weaknesses"/>
    <w:p>
      <w:pPr>
        <w:pStyle w:val="Heading3"/>
      </w:pPr>
      <w:r>
        <w:t xml:space="preserve">3.2 Internal Control Weaknesses</w:t>
      </w:r>
    </w:p>
    <w:p>
      <w:pPr>
        <w:pStyle w:val="FirstParagraph"/>
      </w:pPr>
      <w:r>
        <w:t xml:space="preserve">In two of the three entities examined, significant weaknesses were identified in internal control frameworks, particularly regarding segregation of duties. In Iraq Baghdad, small to medium-sized enterprises often rely on family members or close associates for critical financial roles, which increases the risk of error and fraud. The Auditor recommended the immediate implementation of a four-eyes principle for all transactions exceeding a specific threshold.</w:t>
      </w:r>
    </w:p>
    <w:bookmarkEnd w:id="23"/>
    <w:bookmarkStart w:id="24" w:name="digital-transformation-gaps"/>
    <w:p>
      <w:pPr>
        <w:pStyle w:val="Heading3"/>
      </w:pPr>
      <w:r>
        <w:t xml:space="preserve">3.3 Digital Transformation Gaps</w:t>
      </w:r>
    </w:p>
    <w:p>
      <w:pPr>
        <w:pStyle w:val="FirstParagraph"/>
      </w:pPr>
      <w:r>
        <w:t xml:space="preserve">While Iraq Baghdad has seen an increase in fintech adoption, legacy systems remain dominant in many sectors. The audit revealed that reliance on manual data entry creates bottlenecks and increases the likelihood of human error. The Auditor observed that entities with integrated enterprise resource planning (ERP) systems demonstrated higher accuracy in financial reporting compared to those using isolated spreadsheet-based solutions.</w:t>
      </w:r>
    </w:p>
    <w:bookmarkEnd w:id="24"/>
    <w:bookmarkEnd w:id="25"/>
    <w:bookmarkStart w:id="26" w:name="risk-assessment-specific-to-iraq-baghdad"/>
    <w:p>
      <w:pPr>
        <w:pStyle w:val="Heading2"/>
      </w:pPr>
      <w:r>
        <w:t xml:space="preserve">4. Risk Assessment Specific to Iraq Baghdad</w:t>
      </w:r>
    </w:p>
    <w:p>
      <w:pPr>
        <w:pStyle w:val="FirstParagraph"/>
      </w:pPr>
      <w:r>
        <w:t xml:space="preserve">Auditing in Iraq Baghdad requires a nuanced understanding of local risks. The laboratory report identifies the following key risk factors:</w:t>
      </w:r>
    </w:p>
    <w:p>
      <w:pPr>
        <w:pStyle w:val="BodyText"/>
      </w:pPr>
      <w:r>
        <w:t xml:space="preserve">Risk Category</w:t>
      </w:r>
    </w:p>
    <w:p>
      <w:pPr>
        <w:pStyle w:val="BodyText"/>
      </w:pPr>
      <w:r>
        <w:t xml:space="preserve">Description</w:t>
      </w:r>
    </w:p>
    <w:p>
      <w:pPr>
        <w:pStyle w:val="BodyText"/>
      </w:pPr>
      <w:r>
        <w:t xml:space="preserve">Mitigation Strategy by Auditor</w:t>
      </w:r>
    </w:p>
    <w:p>
      <w:pPr>
        <w:pStyle w:val="BodyText"/>
      </w:pPr>
      <w:r>
        <w:t xml:space="preserve">&gt;</w:t>
      </w:r>
    </w:p>
    <w:p>
      <w:pPr>
        <w:pStyle w:val="BodyText"/>
      </w:pPr>
      <w:r>
        <w:t xml:space="preserve">Currency Fluctuation Risk</w:t>
      </w:r>
    </w:p>
    <w:p>
      <w:pPr>
        <w:pStyle w:val="BodyText"/>
      </w:pPr>
      <w:r>
        <w:t xml:space="preserve">Variability in the IQD/USD exchange rate affects foreign debt valuations.</w:t>
      </w:r>
    </w:p>
    <w:p>
      <w:pPr>
        <w:pStyle w:val="BodyText"/>
      </w:pPr>
      <w:r>
        <w:t xml:space="preserve">Hedging review and frequent revaluation of assets.</w:t>
      </w:r>
    </w:p>
    <w:p>
      <w:pPr>
        <w:pStyle w:val="BodyText"/>
      </w:pPr>
      <w:r>
        <w:t xml:space="preserve">Political Instability</w:t>
      </w:r>
    </w:p>
    <w:p>
      <w:pPr>
        <w:pStyle w:val="BodyText"/>
      </w:pPr>
      <w:r>
        <w:t xml:space="preserve">Potential for sudden regulatory changes or supply chain disruptions.</w:t>
      </w:r>
    </w:p>
    <w:p>
      <w:pPr>
        <w:pStyle w:val="BodyText"/>
      </w:pPr>
      <w:r>
        <w:t xml:space="preserve">Diversified supplier base and stress testing financial models.</w:t>
      </w:r>
    </w:p>
    <w:p>
      <w:pPr>
        <w:pStyle w:val="BodyText"/>
      </w:pPr>
      <w:r>
        <w:t xml:space="preserve">Cybersecurity Threats</w:t>
      </w:r>
    </w:p>
    <w:p>
      <w:pPr>
        <w:pStyle w:val="BodyText"/>
      </w:pPr>
      <w:r>
        <w:t xml:space="preserve">Rising incidence of digital fraud targeting Iraqi banks.</w:t>
      </w:r>
    </w:p>
    <w:p>
      <w:pPr>
        <w:pStyle w:val="BodyText"/>
      </w:pPr>
      <w:r>
        <w:t xml:space="preserve">Enhanced IT audit controls and employee training programs.</w:t>
      </w:r>
    </w:p>
    <w:p>
      <w:pPr>
        <w:pStyle w:val="BodyText"/>
      </w:pPr>
      <w:r>
        <w:t xml:space="preserve">&gt;</w:t>
      </w:r>
    </w:p>
    <w:p>
      <w:pPr>
        <w:pStyle w:val="BodyText"/>
      </w:pPr>
      <w:r>
        <w:t xml:space="preserve">The Auditor plays a pivotal role in mitigating these risks by providing independent assurance that the organization is aware of and actively managing these threats. In Iraq Baghdad, where economic stability is closely tied to global oil prices and regional security, the Auditor’s ability to provide forward-looking risk assessments adds significant value to corporate governance.</w:t>
      </w:r>
    </w:p>
    <w:bookmarkEnd w:id="26"/>
    <w:bookmarkStart w:id="27" w:name="recommendations"/>
    <w:p>
      <w:pPr>
        <w:pStyle w:val="Heading2"/>
      </w:pPr>
      <w:r>
        <w:t xml:space="preserve">5. Recommendations</w:t>
      </w:r>
    </w:p>
    <w:p>
      <w:pPr>
        <w:pStyle w:val="FirstParagraph"/>
      </w:pPr>
      <w:r>
        <w:t xml:space="preserve">Based on the findings detailed in this laboratory report regarding Iraq Baghdad operations, the following recommendations are proposed for immediate implementation by management and oversight committees:</w:t>
      </w:r>
    </w:p>
    <w:p>
      <w:pPr>
        <w:numPr>
          <w:ilvl w:val="0"/>
          <w:numId w:val="1002"/>
        </w:numPr>
        <w:pStyle w:val="Compact"/>
      </w:pPr>
      <w:r>
        <w:rPr>
          <w:bCs/>
          <w:b/>
        </w:rPr>
        <w:t xml:space="preserve">Enhanced Training Programs:</w:t>
      </w:r>
      <w:r>
        <w:t xml:space="preserve"> </w:t>
      </w:r>
      <w:r>
        <w:t xml:space="preserve">Invest in continuous professional education for staff regarding new Iraqi tax laws and international auditing standards. The Auditor suggests quarterly workshops to keep pace with regulatory changes in Iraq Baghdad.</w:t>
      </w:r>
    </w:p>
    <w:p>
      <w:pPr>
        <w:numPr>
          <w:ilvl w:val="0"/>
          <w:numId w:val="1002"/>
        </w:numPr>
        <w:pStyle w:val="Compact"/>
      </w:pPr>
      <w:r>
        <w:rPr>
          <w:bCs/>
          <w:b/>
        </w:rPr>
        <w:t xml:space="preserve">Digital Integration:</w:t>
      </w:r>
      <w:r>
        <w:t xml:space="preserve"> </w:t>
      </w:r>
      <w:r>
        <w:t xml:space="preserve">Accelerate the migration from manual accounting systems to cloud-based ERP solutions. This will improve data accuracy and provide real-time visibility for Auditors and managers alike.</w:t>
      </w:r>
    </w:p>
    <w:p>
      <w:pPr>
        <w:numPr>
          <w:ilvl w:val="0"/>
          <w:numId w:val="1002"/>
        </w:numPr>
        <w:pStyle w:val="Compact"/>
      </w:pPr>
      <w:r>
        <w:rPr>
          <w:bCs/>
          <w:b/>
        </w:rPr>
        <w:t xml:space="preserve">Strengthened Internal Controls:</w:t>
      </w:r>
      <w:r>
        <w:t xml:space="preserve"> </w:t>
      </w:r>
      <w:r>
        <w:t xml:space="preserve">Enforce strict segregation of duties across all departments, particularly in procurement and accounts payable. The Auditor recommends an annual review of internal control effectiveness by the audit committee.</w:t>
      </w:r>
    </w:p>
    <w:p>
      <w:pPr>
        <w:numPr>
          <w:ilvl w:val="0"/>
          <w:numId w:val="1002"/>
        </w:numPr>
        <w:pStyle w:val="Compact"/>
      </w:pPr>
      <w:r>
        <w:rPr>
          <w:bCs/>
          <w:b/>
        </w:rPr>
        <w:t xml:space="preserve">Cybersecurity Frameworks:</w:t>
      </w:r>
      <w:r>
        <w:t xml:space="preserve"> </w:t>
      </w:r>
      <w:r>
        <w:t xml:space="preserve">Implement robust cybersecurity measures to protect financial data. Regular penetration testing and employee awareness campaigns are essential to safeguard assets in Iraq Baghdad’s increasingly digital economy.</w:t>
      </w:r>
    </w:p>
    <w:p>
      <w:pPr>
        <w:pStyle w:val="FirstParagraph"/>
      </w:pPr>
      <w:r>
        <w:t xml:space="preserve">&gt;</w:t>
      </w:r>
    </w:p>
    <w:bookmarkEnd w:id="27"/>
    <w:bookmarkStart w:id="28" w:name="conclusion"/>
    <w:p>
      <w:pPr>
        <w:pStyle w:val="Heading2"/>
      </w:pPr>
      <w:r>
        <w:t xml:space="preserve">6. Conclusion</w:t>
      </w:r>
    </w:p>
    <w:p>
      <w:pPr>
        <w:pStyle w:val="FirstParagraph"/>
      </w:pPr>
      <w:r>
        <w:t xml:space="preserve">This laboratory report concludes that while the audit environment in Iraq Baghdad presents unique challenges, it also offers significant opportunities for growth and modernization. The role of the Auditor is not merely to detect errors but to serve as a catalyst for organizational improvement and transparency. By adhering to rigorous auditing standards while respecting local contexts, Auditors can help build trust among investors, regulators, and the public in Iraq Baghdad.</w:t>
      </w:r>
    </w:p>
    <w:p>
      <w:pPr>
        <w:pStyle w:val="BodyText"/>
      </w:pPr>
      <w:r>
        <w:t xml:space="preserve">The findings indicate that entities which proactively engage with their Auditors and implement recommended controls are better positioned to navigate the complexities of the Iraqi market. As Iraq Baghdad continues its development trajectory, the importance of high-quality auditing cannot be overstated. It is through disciplined financial oversight that sustainable economic progress can be achieved. The Auditor remains a cornerstone of this process, ensuring that integrity and accountability remain at the heart of business operations in this vital region.</w:t>
      </w:r>
    </w:p>
    <w:p>
      <w:pPr>
        <w:pStyle w:val="BodyText"/>
      </w:pPr>
      <w:r>
        <w:t xml:space="preserve">In summary, the integration of international best practices with local expertise is essential for successful auditing in Iraq Baghdad. This laboratory report serves as a testament to the critical importance of robust financial governance and provides a roadmap for future audits conducted within this dynamic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Audit Protocols in Iraq Baghdad</dc:title>
  <dc:creator/>
  <dc:language>en</dc:language>
  <cp:keywords/>
  <dcterms:created xsi:type="dcterms:W3CDTF">2026-07-29T08:36:14Z</dcterms:created>
  <dcterms:modified xsi:type="dcterms:W3CDTF">2026-07-29T08:36:14Z</dcterms:modified>
</cp:coreProperties>
</file>

<file path=docProps/custom.xml><?xml version="1.0" encoding="utf-8"?>
<Properties xmlns="http://schemas.openxmlformats.org/officeDocument/2006/custom-properties" xmlns:vt="http://schemas.openxmlformats.org/officeDocument/2006/docPropsVTypes"/>
</file>