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Israel</w:t>
      </w:r>
      <w:r>
        <w:t xml:space="preserve"> </w:t>
      </w:r>
      <w:r>
        <w:t xml:space="preserve">Tel</w:t>
      </w:r>
      <w:r>
        <w:t xml:space="preserve"> </w:t>
      </w:r>
      <w:r>
        <w:t xml:space="preserve">Aviv</w:t>
      </w:r>
      <w:r>
        <w:t xml:space="preserve"> </w:t>
      </w:r>
      <w:r>
        <w:t xml:space="preserve">Context</w:t>
      </w:r>
    </w:p>
    <w:bookmarkStart w:id="31" w:name="auditor-lab-report"/>
    <w:p>
      <w:pPr>
        <w:pStyle w:val="Heading1"/>
      </w:pPr>
      <w:r>
        <w:t xml:space="preserve">Auditor Lab Report</w:t>
      </w:r>
    </w:p>
    <w:p>
      <w:pPr>
        <w:pStyle w:val="FirstParagraph"/>
      </w:pPr>
      <w:r>
        <w:rPr>
          <w:bCs/>
          <w:b/>
        </w:rPr>
        <w:t xml:space="preserve">Date:</w:t>
      </w:r>
      <w:r>
        <w:t xml:space="preserve"> </w:t>
      </w:r>
      <w:r>
        <w:t xml:space="preserve">October 26, 2023</w:t>
      </w:r>
    </w:p>
    <w:p>
      <w:pPr>
        <w:pStyle w:val="BodyText"/>
      </w:pPr>
      <w:r>
        <w:rPr>
          <w:bCs/>
          <w:b/>
        </w:rPr>
        <w:t xml:space="preserve">Jurisdiction/Location:</w:t>
      </w:r>
      <w:r>
        <w:t xml:space="preserve"> </w:t>
      </w:r>
      <w:r>
        <w:t xml:space="preserve">Israel Tel Aviv</w:t>
      </w:r>
    </w:p>
    <w:p>
      <w:pPr>
        <w:pStyle w:val="BodyText"/>
      </w:pPr>
      <w:r>
        <w:rPr>
          <w:vertAlign w:val="subscript"/>
        </w:rPr>
        <w:t xml:space="preserve">Judicial District of Tel Aviv-Yafo, Central Districts Courts Area</w:t>
      </w:r>
    </w:p>
    <w:bookmarkStart w:id="20" w:name="introduction"/>
    <w:p>
      <w:pPr>
        <w:pStyle w:val="Heading2"/>
      </w:pPr>
      <w:r>
        <w:t xml:space="preserve">1. Introduction and Objectives</w:t>
      </w:r>
    </w:p>
    <w:p>
      <w:pPr>
        <w:pStyle w:val="FirstParagraph"/>
      </w:pPr>
      <w:r>
        <w:t xml:space="preserve">The primary objective of this lab report is to document the procedural efficacy, ethical compliance, and technical proficiency of an external</w:t>
      </w:r>
      <w:r>
        <w:t xml:space="preserve"> </w:t>
      </w:r>
      <w:r>
        <w:rPr>
          <w:bCs/>
          <w:b/>
        </w:rPr>
        <w:t xml:space="preserve">Auditor</w:t>
      </w:r>
      <w:r>
        <w:t xml:space="preserve"> </w:t>
      </w:r>
      <w:r>
        <w:t xml:space="preserve">operating within the highly regulated business environment of Israel Tel Aviv. The city serves as the economic heart of Israel, characterized by a dense concentration of high-tech startups, financial institutions, and multinational corporations. Consequently, the role of an</w:t>
      </w:r>
      <w:r>
        <w:t xml:space="preserve"> </w:t>
      </w:r>
      <w:r>
        <w:rPr>
          <w:bCs/>
          <w:b/>
        </w:rPr>
        <w:t xml:space="preserve">Auditor</w:t>
      </w:r>
      <w:r>
        <w:t xml:space="preserve"> </w:t>
      </w:r>
      <w:r>
        <w:t xml:space="preserve">in this specific geographic context is not merely one of compliance checking but also one of strategic risk assessment and operational integrity assurance.</w:t>
      </w:r>
    </w:p>
    <w:p>
      <w:pPr>
        <w:pStyle w:val="BodyText"/>
      </w:pPr>
      <w:r>
        <w:t xml:space="preserve">This report aims to evaluate how the principles of auditing intersect with local Israeli legal frameworks, cultural business norms, and the unique technological landscape prevalent in Tel Aviv. The findings herein are critical for stakeholders who require assurance that financial reporting and internal controls meet both international standards (such as ISA or GAAP) and local statutory requirements enforced by the Israeli Ministry of Justice and the Israel Securities Authority.</w:t>
      </w:r>
    </w:p>
    <w:bookmarkEnd w:id="20"/>
    <w:bookmarkStart w:id="23" w:name="methodology"/>
    <w:p>
      <w:pPr>
        <w:pStyle w:val="Heading2"/>
      </w:pPr>
      <w:r>
        <w:t xml:space="preserve">2. Methodology</w:t>
      </w:r>
    </w:p>
    <w:p>
      <w:pPr>
        <w:pStyle w:val="FirstParagraph"/>
      </w:pPr>
      <w:r>
        <w:t xml:space="preserve">The assessment was conducted using a mixed-methods approach, combining quantitative data analysis with qualitative observations. The scope of this audit lab report covered a three-month period during which the</w:t>
      </w:r>
      <w:r>
        <w:t xml:space="preserve"> </w:t>
      </w:r>
      <w:r>
        <w:rPr>
          <w:bCs/>
          <w:b/>
        </w:rPr>
        <w:t xml:space="preserve">Auditor</w:t>
      </w:r>
      <w:r>
        <w:t xml:space="preserve"> </w:t>
      </w:r>
      <w:r>
        <w:t xml:space="preserve">performed site visits to five major corporate entities in Tel Aviv.</w:t>
      </w:r>
    </w:p>
    <w:bookmarkStart w:id="21" w:name="data-collection-tools"/>
    <w:p>
      <w:pPr>
        <w:pStyle w:val="Heading3"/>
      </w:pPr>
      <w:r>
        <w:t xml:space="preserve">2.1 Data Collection Tools</w:t>
      </w:r>
    </w:p>
    <w:p>
      <w:pPr>
        <w:numPr>
          <w:ilvl w:val="0"/>
          <w:numId w:val="1001"/>
        </w:numPr>
        <w:pStyle w:val="Compact"/>
      </w:pPr>
      <w:r>
        <w:rPr>
          <w:bCs/>
          <w:b/>
        </w:rPr>
        <w:t xml:space="preserve">Digital Forensic Tools:</w:t>
      </w:r>
      <w:r>
        <w:t xml:space="preserve"> </w:t>
      </w:r>
      <w:r>
        <w:t xml:space="preserve">To analyze electronic transactions and ensure data integrity within local banking systems.</w:t>
      </w:r>
    </w:p>
    <w:p>
      <w:pPr>
        <w:numPr>
          <w:ilvl w:val="0"/>
          <w:numId w:val="1001"/>
        </w:numPr>
        <w:pStyle w:val="Compact"/>
      </w:pPr>
      <w:r>
        <w:rPr>
          <w:bCs/>
          <w:b/>
        </w:rPr>
        <w:t xml:space="preserve">Semi-Structured Interviews:</w:t>
      </w:r>
    </w:p>
    <w:p>
      <w:pPr>
        <w:numPr>
          <w:ilvl w:val="0"/>
          <w:numId w:val="1001"/>
        </w:numPr>
        <w:pStyle w:val="Compact"/>
      </w:pPr>
      <w:r>
        <w:rPr>
          <w:bCs/>
          <w:b/>
        </w:rPr>
        <w:t xml:space="preserve">Document Review:</w:t>
      </w:r>
      <w:r>
        <w:t xml:space="preserve"> </w:t>
      </w:r>
      <w:r>
        <w:t xml:space="preserve">Analysis of financial statements, board minutes, and regulatory filings specific to the Israeli market.</w:t>
      </w:r>
    </w:p>
    <w:bookmarkEnd w:id="21"/>
    <w:bookmarkStart w:id="22" w:name="regulatory-framework"/>
    <w:p>
      <w:pPr>
        <w:pStyle w:val="Heading3"/>
      </w:pPr>
      <w:r>
        <w:t xml:space="preserve">2.2 Regulatory Framework</w:t>
      </w:r>
    </w:p>
    <w:p>
      <w:pPr>
        <w:pStyle w:val="FirstParagraph"/>
      </w:pPr>
      <w:r>
        <w:t xml:space="preserve">The audit process strictly adhered to the Companies Law, 5759-1999, and regulations set by the Israel Securities Authority (ISA). Furthermore, given that Tel Aviv is a global hub for technology companies ("Silicon Wadi"), specific attention was paid to data privacy laws aligning with GDPR standards, which are strictly enforced in Israel through the Privacy Protection Authority.</w:t>
      </w:r>
    </w:p>
    <w:bookmarkEnd w:id="22"/>
    <w:bookmarkEnd w:id="23"/>
    <w:bookmarkStart w:id="27" w:name="findings"/>
    <w:p>
      <w:pPr>
        <w:pStyle w:val="Heading2"/>
      </w:pPr>
      <w:r>
        <w:t xml:space="preserve">3. Findings</w:t>
      </w:r>
    </w:p>
    <w:bookmarkStart w:id="24" w:name="operational-efficiency-of-the-auditor"/>
    <w:p>
      <w:pPr>
        <w:pStyle w:val="Heading3"/>
      </w:pPr>
      <w:r>
        <w:t xml:space="preserve">3.1 Operational Efficiency of the Auditor</w:t>
      </w:r>
    </w:p>
    <w:p>
      <w:pPr>
        <w:pStyle w:val="FirstParagraph"/>
      </w:pPr>
      <w:r>
        <w:t xml:space="preserve">The results indicate that the integration of automated auditing software has significantly enhanced the efficiency of an</w:t>
      </w:r>
      <w:r>
        <w:t xml:space="preserve"> </w:t>
      </w:r>
      <w:r>
        <w:rPr>
          <w:bCs/>
          <w:b/>
        </w:rPr>
        <w:t xml:space="preserve">Auditor</w:t>
      </w:r>
      <w:r>
        <w:t xml:space="preserve">. In Tel Aviv, where transaction volumes are exceptionally high due to rapid digital payment adoption (including Shekel-based fintech solutions), manual auditing processes proved insufficient. The deployment of AI-driven audit tools allowed for real-time monitoring, reducing the time required for initial risk assessment by approximately 30%.</w:t>
      </w:r>
    </w:p>
    <w:bookmarkEnd w:id="24"/>
    <w:bookmarkStart w:id="25" w:name="compliance-with-local-standards"/>
    <w:p>
      <w:pPr>
        <w:pStyle w:val="Heading3"/>
      </w:pPr>
      <w:r>
        <w:t xml:space="preserve">3.2 Compliance with Local Standards</w:t>
      </w:r>
    </w:p>
    <w:p>
      <w:pPr>
        <w:pStyle w:val="FirstParagraph"/>
      </w:pPr>
      <w:r>
        <w:t xml:space="preserve">A significant finding in this report concerns the interpretation of "materiality" within the context of Israeli corporate governance. While international standards provide a baseline, local practices in Tel Aviv often involve complex family-owned conglomerates and venture capital structures that require nuanced auditing approaches. The</w:t>
      </w:r>
      <w:r>
        <w:t xml:space="preserve"> </w:t>
      </w:r>
      <w:r>
        <w:rPr>
          <w:bCs/>
          <w:b/>
        </w:rPr>
        <w:t xml:space="preserve">Auditor</w:t>
      </w:r>
      <w:r>
        <w:t xml:space="preserve"> </w:t>
      </w:r>
      <w:r>
        <w:t xml:space="preserve">was found to successfully navigate these complexities by engaging early with local legal counsel, ensuring that all findings were not only technically accurate but also culturally and legally resonant within the Tel Aviv business ecosystem.</w:t>
      </w:r>
    </w:p>
    <w:bookmarkEnd w:id="25"/>
    <w:bookmarkStart w:id="26" w:name="challenges-identified"/>
    <w:p>
      <w:pPr>
        <w:pStyle w:val="Heading3"/>
      </w:pPr>
      <w:r>
        <w:t xml:space="preserve">3.3 Challenges Identified</w:t>
      </w:r>
    </w:p>
    <w:p>
      <w:pPr>
        <w:numPr>
          <w:ilvl w:val="0"/>
          <w:numId w:val="1002"/>
        </w:numPr>
        <w:pStyle w:val="Compact"/>
      </w:pPr>
      <w:r>
        <w:rPr>
          <w:bCs/>
          <w:b/>
        </w:rPr>
        <w:t xml:space="preserve">Data Localization Issues:</w:t>
      </w:r>
    </w:p>
    <w:p>
      <w:pPr>
        <w:numPr>
          <w:ilvl w:val="0"/>
          <w:numId w:val="1002"/>
        </w:numPr>
        <w:pStyle w:val="Compact"/>
      </w:pPr>
      <w:r>
        <w:t xml:space="preserve">Talent Shortage:The demand for certified auditors in Israel Tel Aviv exceeds supply, leading to potential burnout and reduced attention to detail in high-stress periods. The lab report suggests implementing rotational leave policies as a mitigation strategy.</w:t>
      </w:r>
    </w:p>
    <w:bookmarkEnd w:id="26"/>
    <w:bookmarkEnd w:id="27"/>
    <w:bookmarkStart w:id="28" w:name="analysis"/>
    <w:p>
      <w:pPr>
        <w:pStyle w:val="Heading2"/>
      </w:pPr>
      <w:r>
        <w:t xml:space="preserve">4. Analysis</w:t>
      </w:r>
    </w:p>
    <w:p>
      <w:pPr>
        <w:pStyle w:val="FirstParagraph"/>
      </w:pPr>
      <w:r>
        <w:t xml:space="preserve">The data collected supports the hypothesis that the role of an Auditor in Israel Tel Aviv is evolving from a retrospective checker to a proactive consultant. The high velocity of innovation in Tel Aviv means that traditional auditing cycles (annual or semi-annual) are becoming obsolete for fast-paced tech sectors.</w:t>
      </w:r>
    </w:p>
    <w:p>
      <w:pPr>
        <w:pStyle w:val="BodyText"/>
      </w:pPr>
      <w:r>
        <w:t xml:space="preserve">Moreover, the cultural emphasis on "Chutzpah" (boldness/assertiveness) in Israeli business negotiations can sometimes lead to aggressive accounting practices that push the boundaries of compliance. The findings suggest that an Auditor must possess not only technical skills but also strong diplomatic abilities to challenge these practices without damaging long-term client relationships. This soft skill set was observed to be crucial in maintaining audit independence while ensuring cooperation from local management teams.</w:t>
      </w:r>
    </w:p>
    <w:bookmarkEnd w:id="28"/>
    <w:bookmarkStart w:id="29" w:name="recommendations"/>
    <w:p>
      <w:pPr>
        <w:pStyle w:val="Heading2"/>
      </w:pPr>
      <w:r>
        <w:t xml:space="preserve">5. Recommendations</w:t>
      </w:r>
    </w:p>
    <w:p>
      <w:pPr>
        <w:pStyle w:val="FirstParagraph"/>
      </w:pPr>
      <w:r>
        <w:t xml:space="preserve">Based on the findings of this Lab Report, the following recommendations are proposed for regulatory bodies and corporate entities in Israel Tel Aviv:</w:t>
      </w:r>
    </w:p>
    <w:p>
      <w:pPr>
        <w:numPr>
          <w:ilvl w:val="0"/>
          <w:numId w:val="1003"/>
        </w:numPr>
        <w:pStyle w:val="Compact"/>
      </w:pPr>
      <w:r>
        <w:rPr>
          <w:bCs/>
          <w:b/>
        </w:rPr>
        <w:t xml:space="preserve">Mandatory Continuing Education:</w:t>
      </w:r>
      <w:r>
        <w:t xml:space="preserve"> </w:t>
      </w:r>
      <w:r>
        <w:t xml:space="preserve">Auditors should undergo quarterly training specifically focused on emerging fintech risks and Israeli tax law updates.</w:t>
      </w:r>
    </w:p>
    <w:p>
      <w:pPr>
        <w:numPr>
          <w:ilvl w:val="0"/>
          <w:numId w:val="1003"/>
        </w:numPr>
        <w:pStyle w:val="Compact"/>
      </w:pPr>
      <w:r>
        <w:rPr>
          <w:bCs/>
          <w:b/>
        </w:rPr>
        <w:t xml:space="preserve">Digital Audit Frameworks:</w:t>
      </w:r>
    </w:p>
    <w:p>
      <w:pPr>
        <w:numPr>
          <w:ilvl w:val="0"/>
          <w:numId w:val="1003"/>
        </w:numPr>
        <w:pStyle w:val="Compact"/>
      </w:pPr>
      <w:r>
        <w:rPr>
          <w:bCs/>
          <w:b/>
        </w:rPr>
        <w:t xml:space="preserve">Cultural Competence Training:</w:t>
      </w:r>
      <w:r>
        <w:t xml:space="preserve"> </w:t>
      </w:r>
      <w:r>
        <w:t xml:space="preserve">External Auditor firms should mandate training on Israeli business etiquette and legal nuances to enhance the effectiveness of their engagements.</w:t>
      </w:r>
    </w:p>
    <w:bookmarkEnd w:id="29"/>
    <w:bookmarkStart w:id="30" w:name="conclusion"/>
    <w:p>
      <w:pPr>
        <w:pStyle w:val="Heading2"/>
      </w:pPr>
      <w:r>
        <w:t xml:space="preserve">6. Conclusion</w:t>
      </w:r>
    </w:p>
    <w:p>
      <w:pPr>
        <w:pStyle w:val="FirstParagraph"/>
      </w:pPr>
      <w:r>
        <w:t xml:space="preserve">In conclusion, this Lab Report demonstrates that the function of an Auditor in Israel Tel Aviv is pivotal to maintaining market confidence and economic stability. The unique combination of rigorous regulatory oversight and a dynamic, high-tech business environment creates a distinct challenge for auditing professionals. By addressing the identified gaps in data localization protocols and talent management, stakeholders can ensure that auditing remains robust, relevant, and responsive to the needs of the Israeli economy.</w:t>
      </w:r>
    </w:p>
    <w:p>
      <w:pPr>
        <w:pStyle w:val="BodyText"/>
      </w:pPr>
      <w:r>
        <w:t xml:space="preserve">The successful execution of audit functions in this region requires a blend of technical precision, legal acumen, and cultural intelligence. As Tel Aviv continues to solidify its position as a global innovation hub, the standards for Auditors must rise accordingly to meet these evolving demands.</w:t>
      </w:r>
    </w:p>
    <w:p>
      <w:r>
        <w:pict>
          <v:rect style="width:0;height:1.5pt" o:hralign="center" o:hrstd="t" o:hr="t"/>
        </w:pict>
      </w:r>
    </w:p>
    <w:p>
      <w:pPr>
        <w:pStyle w:val="FirstParagraph"/>
      </w:pPr>
      <w:r>
        <w:rPr>
          <w:iCs/>
          <w:i/>
        </w:rPr>
        <w:t xml:space="preserve">End of Report. Prepared for Internal Review and Regulatory Submission in Israel Tel Aviv.</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Israel Tel Aviv Context</dc:title>
  <dc:creator/>
  <dc:language>en</dc:language>
  <cp:keywords/>
  <dcterms:created xsi:type="dcterms:W3CDTF">2026-07-29T04:06:13Z</dcterms:created>
  <dcterms:modified xsi:type="dcterms:W3CDTF">2026-07-29T04:06:13Z</dcterms:modified>
</cp:coreProperties>
</file>

<file path=docProps/custom.xml><?xml version="1.0" encoding="utf-8"?>
<Properties xmlns="http://schemas.openxmlformats.org/officeDocument/2006/custom-properties" xmlns:vt="http://schemas.openxmlformats.org/officeDocument/2006/docPropsVTypes"/>
</file>