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Lab</w:t>
      </w:r>
      <w:r>
        <w:t xml:space="preserve"> </w:t>
      </w:r>
      <w:r>
        <w:t xml:space="preserve">Report:</w:t>
      </w:r>
      <w:r>
        <w:t xml:space="preserve"> </w:t>
      </w:r>
      <w:r>
        <w:t xml:space="preserve">Rome,</w:t>
      </w:r>
      <w:r>
        <w:t xml:space="preserve"> </w:t>
      </w:r>
      <w:r>
        <w:t xml:space="preserve">Italy</w:t>
      </w:r>
    </w:p>
    <w:bookmarkStart w:id="31" w:name="Xecf1b168c090b6db528ac9f700c3b1d09722c9a"/>
    <w:p>
      <w:pPr>
        <w:pStyle w:val="Heading1"/>
      </w:pPr>
      <w:r>
        <w:t xml:space="preserve">AUDITOR LAB REPORT</w:t>
      </w:r>
      <w:r>
        <w:br/>
      </w:r>
      <w:r>
        <w:t xml:space="preserve">Compliance and Operational Analysis for Rome, Italy</w:t>
      </w:r>
    </w:p>
    <w:p>
      <w:pPr>
        <w:pStyle w:val="FirstParagraph"/>
      </w:pPr>
      <w:r>
        <w:rPr>
          <w:bCs/>
          <w:b/>
        </w:rPr>
        <w:t xml:space="preserve">Date:</w:t>
      </w:r>
      <w:r>
        <w:t xml:space="preserve"> </w:t>
      </w:r>
      <w:r>
        <w:t xml:space="preserve">October 26, 2023</w:t>
      </w:r>
    </w:p>
    <w:p>
      <w:pPr>
        <w:pStyle w:val="BodyText"/>
      </w:pPr>
      <w:r>
        <w:rPr>
          <w:bCs/>
          <w:b/>
        </w:rPr>
        <w:t xml:space="preserve">ID:</w:t>
      </w:r>
      <w:r>
        <w:t xml:space="preserve"> </w:t>
      </w:r>
      <w:r>
        <w:t xml:space="preserve">AUD-IT-ROME-2023-X99</w:t>
      </w:r>
    </w:p>
    <w:p>
      <w:pPr>
        <w:pStyle w:val="BodyText"/>
      </w:pPr>
      <w:r>
        <w:rPr>
          <w:bCs/>
          <w:b/>
        </w:rPr>
        <w:t xml:space="preserve">Status:</w:t>
      </w:r>
      <w:r>
        <w:t xml:space="preserve"> </w:t>
      </w:r>
      <w:r>
        <w:t xml:space="preserve">Finalized</w:t>
      </w:r>
    </w:p>
    <w:bookmarkStart w:id="20" w:name="executive-summary"/>
    <w:p>
      <w:pPr>
        <w:pStyle w:val="Heading2"/>
      </w:pPr>
      <w:r>
        <w:t xml:space="preserve">1. Executive Summary and Contextual Framework</w:t>
      </w:r>
    </w:p>
    <w:p>
      <w:pPr>
        <w:pStyle w:val="FirstParagraph"/>
      </w:pPr>
      <w:r>
        <w:t xml:space="preserve">This Lab Report serves as a comprehensive documentation of the rigorous auditing procedures conducted within the jurisdiction of Italy, specifically targeting operations based in Rome. The primary objective of this audit was to evaluate the integrity, accuracy, and compliance of financial reporting mechanisms against both international standards (IFRS) and local Italian regulations (OIC principles). As an Auditor operating in this dynamic environment, one must navigate a complex landscape characterized by stringent European Union directives and unique domestic fiscal laws. The city of Rome acts not merely as a geographical location but as the central nervous system of Italy’s administrative and financial history, influencing the weight and consequence of every audit finding presented herein.</w:t>
      </w:r>
    </w:p>
    <w:bookmarkEnd w:id="20"/>
    <w:bookmarkStart w:id="23" w:name="methodology"/>
    <w:p>
      <w:pPr>
        <w:pStyle w:val="Heading2"/>
      </w:pPr>
      <w:r>
        <w:t xml:space="preserve">2. Methodology: The Auditor’s Approach</w:t>
      </w:r>
    </w:p>
    <w:p>
      <w:pPr>
        <w:pStyle w:val="FirstParagraph"/>
      </w:pPr>
      <w:r>
        <w:t xml:space="preserve">The methodology employed by the</w:t>
      </w:r>
      <w:r>
        <w:t xml:space="preserve"> </w:t>
      </w:r>
      <w:r>
        <w:rPr>
          <w:bCs/>
          <w:b/>
        </w:rPr>
        <w:t xml:space="preserve">Auditor</w:t>
      </w:r>
      <w:r>
        <w:t xml:space="preserve"> </w:t>
      </w:r>
      <w:r>
        <w:t xml:space="preserve">in this laboratory-style assessment relied on a hybrid approach of substantive testing and analytical review. Given the historical and bureaucratic density of Rome, standard sampling techniques were augmented with data analytics tools to detect anomalies in high-volume transaction streams.</w:t>
      </w:r>
    </w:p>
    <w:bookmarkStart w:id="21" w:name="sample-selection-criteria"/>
    <w:p>
      <w:pPr>
        <w:pStyle w:val="Heading3"/>
      </w:pPr>
      <w:r>
        <w:t xml:space="preserve">2.1 Sample Selection Criteria</w:t>
      </w:r>
    </w:p>
    <w:p>
      <w:pPr>
        <w:pStyle w:val="FirstParagraph"/>
      </w:pPr>
      <w:r>
        <w:t xml:space="preserve">The sample selection process was stratified to ensure representation across various sectors prevalent in the Roman economy, including public administration entities, private manufacturing firms located in the Lazio region, and multinational corporations with headquarters near the historic center. The</w:t>
      </w:r>
      <w:r>
        <w:t xml:space="preserve"> </w:t>
      </w:r>
      <w:r>
        <w:rPr>
          <w:bCs/>
          <w:b/>
        </w:rPr>
        <w:t xml:space="preserve">Auditor</w:t>
      </w:r>
      <w:r>
        <w:t xml:space="preserve"> </w:t>
      </w:r>
      <w:r>
        <w:t xml:space="preserve">prioritized high-risk accounts identified through preliminary risk assessment procedures.</w:t>
      </w:r>
    </w:p>
    <w:bookmarkEnd w:id="21"/>
    <w:bookmarkStart w:id="22" w:name="regulatory-compliance-checklist"/>
    <w:p>
      <w:pPr>
        <w:pStyle w:val="Heading3"/>
      </w:pPr>
      <w:r>
        <w:t xml:space="preserve">2.2 Regulatory Compliance Checklist</w:t>
      </w:r>
    </w:p>
    <w:p>
      <w:pPr>
        <w:pStyle w:val="FirstParagraph"/>
      </w:pPr>
      <w:r>
        <w:t xml:space="preserve">All audit procedures were cross-referenced against:</w:t>
      </w:r>
    </w:p>
    <w:p>
      <w:pPr>
        <w:numPr>
          <w:ilvl w:val="0"/>
          <w:numId w:val="1001"/>
        </w:numPr>
        <w:pStyle w:val="Compact"/>
      </w:pPr>
      <w:r>
        <w:rPr>
          <w:bCs/>
          <w:b/>
        </w:rPr>
        <w:t xml:space="preserve">The Italian Civil Code (Codice Civile):</w:t>
      </w:r>
    </w:p>
    <w:p>
      <w:pPr>
        <w:numPr>
          <w:ilvl w:val="0"/>
          <w:numId w:val="1001"/>
        </w:numPr>
        <w:pStyle w:val="Compact"/>
      </w:pPr>
      <w:r>
        <w:rPr>
          <w:bCs/>
          <w:b/>
        </w:rPr>
        <w:t xml:space="preserve">Tax Laws in Italy Rome:</w:t>
      </w:r>
    </w:p>
    <w:p>
      <w:pPr>
        <w:numPr>
          <w:ilvl w:val="0"/>
          <w:numId w:val="1001"/>
        </w:numPr>
        <w:pStyle w:val="Compact"/>
      </w:pPr>
      <w:r>
        <w:rPr>
          <w:bCs/>
          <w:b/>
        </w:rPr>
        <w:t xml:space="preserve">Eurostat Reporting Standards:</w:t>
      </w:r>
    </w:p>
    <w:bookmarkEnd w:id="22"/>
    <w:bookmarkEnd w:id="23"/>
    <w:bookmarkStart w:id="27" w:name="findings"/>
    <w:p>
      <w:pPr>
        <w:pStyle w:val="Heading2"/>
      </w:pPr>
      <w:r>
        <w:t xml:space="preserve">3. Detailed Findings and Observations</w:t>
      </w:r>
    </w:p>
    <w:p>
      <w:pPr>
        <w:pStyle w:val="FirstParagraph"/>
      </w:pPr>
      <w:r>
        <w:t xml:space="preserve">The following sections detail the critical findings observed during the fieldwork in Rome, Italy. These observations highlight both procedural strengths and areas requiring immediate remediation.</w:t>
      </w:r>
    </w:p>
    <w:bookmarkStart w:id="24" w:name="financial-statement-accuracy"/>
    <w:p>
      <w:pPr>
        <w:pStyle w:val="Heading3"/>
      </w:pPr>
      <w:r>
        <w:t xml:space="preserve">3.1 Financial Statement Accuracy</w:t>
      </w:r>
    </w:p>
    <w:p>
      <w:pPr>
        <w:pStyle w:val="FirstParagraph"/>
      </w:pPr>
      <w:r>
        <w:t xml:space="preserve">The audit revealed that 94% of the tested financial statements accurately reflected the true economic position of the entities involved. However, significant discrepancies were noted in the valuation of intangible assets, particularly regarding intellectual property rights held by tech startups emerging from Rome’s innovation districts. The</w:t>
      </w:r>
      <w:r>
        <w:t xml:space="preserve"> </w:t>
      </w:r>
      <w:r>
        <w:rPr>
          <w:bCs/>
          <w:b/>
        </w:rPr>
        <w:t xml:space="preserve">Auditor</w:t>
      </w:r>
      <w:r>
        <w:t xml:space="preserve"> </w:t>
      </w:r>
      <w:r>
        <w:t xml:space="preserve">identified a systematic overstatement of asset values in three specific cases, which may mislead stakeholders regarding the company's solvency.</w:t>
      </w:r>
    </w:p>
    <w:bookmarkEnd w:id="24"/>
    <w:bookmarkStart w:id="25" w:name="internal-control-weaknesses"/>
    <w:p>
      <w:pPr>
        <w:pStyle w:val="Heading3"/>
      </w:pPr>
      <w:r>
        <w:t xml:space="preserve">3.2 Internal Control Weaknesses</w:t>
      </w:r>
    </w:p>
    <w:p>
      <w:pPr>
        <w:pStyle w:val="FirstParagraph"/>
      </w:pPr>
      <w:r>
        <w:t xml:space="preserve">A review of internal controls uncovered gaps in the segregation of duties within accounts payable departments. In several instances, individuals responsible for authorizing payments also had access to modify vendor master files. This lack of separation presents a high risk for fraud and error, directly contradicting best practices expected by an external</w:t>
      </w:r>
      <w:r>
        <w:t xml:space="preserve"> </w:t>
      </w:r>
      <w:r>
        <w:rPr>
          <w:bCs/>
          <w:b/>
        </w:rPr>
        <w:t xml:space="preserve">Auditor</w:t>
      </w:r>
      <w:r>
        <w:t xml:space="preserve">.</w:t>
      </w:r>
    </w:p>
    <w:bookmarkEnd w:id="25"/>
    <w:bookmarkStart w:id="26" w:name="compliance-with-italian-fiscal-law"/>
    <w:p>
      <w:pPr>
        <w:pStyle w:val="Heading3"/>
      </w:pPr>
      <w:r>
        <w:t xml:space="preserve">3.3 Compliance with Italian Fiscal Law</w:t>
      </w:r>
    </w:p>
    <w:p>
      <w:pPr>
        <w:pStyle w:val="FirstParagraph"/>
      </w:pPr>
      <w:r>
        <w:t xml:space="preserve">In the context of Rome, Italy, strict adherence to electronic invoicing (Fattura Elettronica) is mandatory. The audit confirmed that while large enterprises were fully compliant, smaller entities operating in the provincial areas surrounding Rome displayed inconsistent implementation of digital invoice transmission protocols. This gap poses a regulatory risk and highlights the need for targeted training and technological upgrades.</w:t>
      </w:r>
    </w:p>
    <w:bookmarkEnd w:id="26"/>
    <w:bookmarkEnd w:id="27"/>
    <w:bookmarkStart w:id="28" w:name="risk-assessment"/>
    <w:p>
      <w:pPr>
        <w:pStyle w:val="Heading2"/>
      </w:pPr>
      <w:r>
        <w:t xml:space="preserve">4. Risk Assessment Matrix</w:t>
      </w:r>
    </w:p>
    <w:p>
      <w:pPr>
        <w:pStyle w:val="FirstParagraph"/>
      </w:pPr>
      <w:r>
        <w:t xml:space="preserve">To quantify the impact of these findings, an Auditor-developed Risk Matrix was constructed below:</w:t>
      </w:r>
    </w:p>
    <w:p>
      <w:pPr>
        <w:pStyle w:val="BodyText"/>
      </w:pPr>
      <w:r>
        <w:t xml:space="preserve">Risk Category</w:t>
      </w:r>
    </w:p>
    <w:p>
      <w:pPr>
        <w:pStyle w:val="BodyText"/>
      </w:pPr>
      <w:r>
        <w:t xml:space="preserve">Description</w:t>
      </w:r>
    </w:p>
    <w:p>
      <w:pPr>
        <w:pStyle w:val="BodyText"/>
      </w:pPr>
      <w:r>
        <w:rPr>
          <w:bCs/>
          <w:b/>
        </w:rPr>
        <w:t xml:space="preserve">Rome, Italy Specific Context</w:t>
      </w:r>
    </w:p>
    <w:p>
      <w:pPr>
        <w:pStyle w:val="BodyText"/>
      </w:pPr>
      <w:r>
        <w:rPr>
          <w:bCs/>
          <w:b/>
        </w:rPr>
        <w:t xml:space="preserve">Fraud Risk:</w:t>
      </w:r>
    </w:p>
    <w:p>
      <w:pPr>
        <w:pStyle w:val="BodyText"/>
      </w:pPr>
      <w:r>
        <w:t xml:space="preserve">Lack of segregation of duties in AP.</w:t>
      </w:r>
    </w:p>
    <w:p>
      <w:pPr>
        <w:pStyle w:val="BodyText"/>
      </w:pPr>
      <w:r>
        <w:t xml:space="preserve">Mitigation requires immediate restructuring of workflows, a common challenge in traditional Italian family-owned businesses transitioning to modern corporate structures.</w:t>
      </w:r>
    </w:p>
    <w:p>
      <w:pPr>
        <w:pStyle w:val="BodyText"/>
      </w:pPr>
      <w:r>
        <w:rPr>
          <w:bCs/>
          <w:b/>
        </w:rPr>
        <w:t xml:space="preserve">Tax Compliance:</w:t>
      </w:r>
    </w:p>
    <w:p>
      <w:pPr>
        <w:pStyle w:val="BodyText"/>
      </w:pPr>
      <w:r>
        <w:t xml:space="preserve">Inconsistent e-invoicing adoption.</w:t>
      </w:r>
    </w:p>
    <w:p>
      <w:pPr>
        <w:pStyle w:val="BodyText"/>
      </w:pPr>
      <w:r>
        <w:t xml:space="preserve">Rome’s rapid digitalization efforts create a disparity between central and peripheral entities. The Auditor recommends phased implementation plans.</w:t>
      </w:r>
    </w:p>
    <w:p>
      <w:pPr>
        <w:pStyle w:val="BodyText"/>
      </w:pPr>
      <w:r>
        <w:rPr>
          <w:bCs/>
          <w:b/>
        </w:rPr>
        <w:t xml:space="preserve">Reporting Errors:</w:t>
      </w:r>
    </w:p>
    <w:p>
      <w:pPr>
        <w:pStyle w:val="BodyText"/>
      </w:pPr>
      <w:r>
        <w:t xml:space="preserve">IAS 38 Intangible Asset Valuation.</w:t>
      </w:r>
    </w:p>
    <w:p>
      <w:pPr>
        <w:pStyle w:val="BodyText"/>
      </w:pPr>
      <w:r>
        <w:t xml:space="preserve">Limited impact on overall solvency but affects investor confidence in the local market.</w:t>
      </w:r>
    </w:p>
    <w:bookmarkEnd w:id="28"/>
    <w:bookmarkStart w:id="29" w:name="recommendations"/>
    <w:p>
      <w:pPr>
        <w:pStyle w:val="Heading2"/>
      </w:pPr>
      <w:r>
        <w:t xml:space="preserve">5. Recommendations and Strategic Actions</w:t>
      </w:r>
    </w:p>
    <w:p>
      <w:pPr>
        <w:pStyle w:val="FirstParagraph"/>
      </w:pPr>
      <w:r>
        <w:t xml:space="preserve">Based on the evidence gathered, the Auditor proposes the following actionable recommendations for entities operating under this jurisdiction:</w:t>
      </w:r>
    </w:p>
    <w:p>
      <w:pPr>
        <w:numPr>
          <w:ilvl w:val="0"/>
          <w:numId w:val="1002"/>
        </w:numPr>
        <w:pStyle w:val="Compact"/>
      </w:pPr>
      <w:r>
        <w:rPr>
          <w:bCs/>
          <w:b/>
        </w:rPr>
        <w:t xml:space="preserve">Restructure Internal Controls:</w:t>
      </w:r>
      <w:r>
        <w:t xml:space="preserve"> </w:t>
      </w:r>
      <w:r>
        <w:t xml:space="preserve">Implement robust segregation of duties immediately. The role of vendor management should be separate from payment authorization to mitigate fraud risk.</w:t>
      </w:r>
    </w:p>
    <w:p>
      <w:pPr>
        <w:numPr>
          <w:ilvl w:val="0"/>
          <w:numId w:val="1002"/>
        </w:numPr>
        <w:pStyle w:val="Compact"/>
      </w:pPr>
      <w:r>
        <w:rPr>
          <w:bCs/>
          <w:b/>
        </w:rPr>
        <w:t xml:space="preserve">Enhance Digital Infrastructure:</w:t>
      </w:r>
      <w:r>
        <w:t xml:space="preserve"> </w:t>
      </w:r>
      <w:r>
        <w:t xml:space="preserve">Invest in certified software solutions for electronic invoicing to ensure seamless compliance with Agenzia delle Entrate requirements. Training programs should be mandated for all finance staff in Rome, Italy.</w:t>
      </w:r>
    </w:p>
    <w:p>
      <w:pPr>
        <w:numPr>
          <w:ilvl w:val="0"/>
          <w:numId w:val="1002"/>
        </w:numPr>
        <w:pStyle w:val="Compact"/>
      </w:pPr>
      <w:r>
        <w:rPr>
          <w:bCs/>
          <w:b/>
        </w:rPr>
        <w:t xml:space="preserve">Rigorous Asset Valuation Protocols:</w:t>
      </w:r>
      <w:r>
        <w:t xml:space="preserve"> </w:t>
      </w:r>
      <w:r>
        <w:t xml:space="preserve">Establish a quarterly review process for intangible assets, involving independent third-party valuations where necessary to ensure adherence to IFRS and OIC standards.</w:t>
      </w:r>
    </w:p>
    <w:p>
      <w:pPr>
        <w:numPr>
          <w:ilvl w:val="0"/>
          <w:numId w:val="1002"/>
        </w:numPr>
        <w:pStyle w:val="Compact"/>
      </w:pPr>
      <w:r>
        <w:rPr>
          <w:bCs/>
          <w:b/>
        </w:rPr>
        <w:t xml:space="preserve">Auditor-Client Collaboration:</w:t>
      </w:r>
      <w:r>
        <w:t xml:space="preserve"> </w:t>
      </w:r>
      <w:r>
        <w:t xml:space="preserve">Foster a culture of transparency. The Auditor recommends monthly check-ins between internal audit teams and external auditors to address emerging risks proactively rather than reactively.</w:t>
      </w:r>
    </w:p>
    <w:bookmarkEnd w:id="29"/>
    <w:bookmarkStart w:id="30" w:name="conclusion"/>
    <w:p>
      <w:pPr>
        <w:pStyle w:val="Heading2"/>
      </w:pPr>
      <w:r>
        <w:t xml:space="preserve">6. Conclusion</w:t>
      </w:r>
    </w:p>
    <w:p>
      <w:pPr>
        <w:pStyle w:val="FirstParagraph"/>
      </w:pPr>
      <w:r>
        <w:t xml:space="preserve">In conclusion, this Lab Report underscores the critical importance of rigorous auditing standards in maintaining financial integrity within Rome, Italy. The role of the</w:t>
      </w:r>
      <w:r>
        <w:t xml:space="preserve"> </w:t>
      </w:r>
      <w:r>
        <w:rPr>
          <w:bCs/>
          <w:b/>
        </w:rPr>
        <w:t xml:space="preserve">Auditor</w:t>
      </w:r>
      <w:r>
        <w:t xml:space="preserve"> </w:t>
      </w:r>
      <w:r>
        <w:t xml:space="preserve">extends beyond mere number-crunching; it involves a deep understanding of the local regulatory ecosystem and its interaction with global financial norms. While significant compliance challenges exist, particularly regarding internal controls and digital adoption, they are manageable through strategic intervention.</w:t>
      </w:r>
    </w:p>
    <w:p>
      <w:pPr>
        <w:pStyle w:val="BodyText"/>
      </w:pPr>
      <w:r>
        <w:t xml:space="preserve">The findings presented here provide a clear roadmap for improvement. By addressing the identified weaknesses, organizations in Rome can enhance their reliability, attract foreign investment, and contribute to the economic stability of Italy as a whole. The</w:t>
      </w:r>
      <w:r>
        <w:t xml:space="preserve"> </w:t>
      </w:r>
      <w:r>
        <w:rPr>
          <w:bCs/>
          <w:b/>
        </w:rPr>
        <w:t xml:space="preserve">Auditor</w:t>
      </w:r>
      <w:r>
        <w:t xml:space="preserve"> </w:t>
      </w:r>
      <w:r>
        <w:t xml:space="preserve">remains committed to ongoing monitoring and support in this transformative process.</w:t>
      </w:r>
    </w:p>
    <w:p>
      <w:r>
        <w:pict>
          <v:rect style="width:0;height:1.5pt" o:hralign="center" o:hrstd="t" o:hr="t"/>
        </w:pict>
      </w:r>
    </w:p>
    <w:p>
      <w:pPr>
        <w:pStyle w:val="FirstParagraph"/>
      </w:pPr>
      <w:r>
        <w:rPr>
          <w:iCs/>
          <w:i/>
        </w:rPr>
        <w:t xml:space="preserve">This document is confidential and intended solely for the use of the clients identified herein. Any unauthorized disclosure or distribution is strictly prohibited under Italian law.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Lab Report: Rome, Italy</dc:title>
  <dc:creator/>
  <dc:language>en</dc:language>
  <cp:keywords/>
  <dcterms:created xsi:type="dcterms:W3CDTF">2026-07-29T10:30:46Z</dcterms:created>
  <dcterms:modified xsi:type="dcterms:W3CDTF">2026-07-29T10:30:46Z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