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Implementation</w:t>
      </w:r>
      <w:r>
        <w:t xml:space="preserve"> </w:t>
      </w:r>
      <w:r>
        <w:t xml:space="preserve">in</w:t>
      </w:r>
      <w:r>
        <w:t xml:space="preserve"> </w:t>
      </w:r>
      <w:r>
        <w:t xml:space="preserve">Netherlands</w:t>
      </w:r>
      <w:r>
        <w:t xml:space="preserve"> </w:t>
      </w:r>
      <w:r>
        <w:t xml:space="preserve">Amsterdam</w:t>
      </w:r>
    </w:p>
    <w:bookmarkStart w:id="28" w:name="X869768ee15bab2ab0f72c8c54396aeaa8965574"/>
    <w:p>
      <w:pPr>
        <w:pStyle w:val="Heading1"/>
      </w:pPr>
      <w:r>
        <w:t xml:space="preserve">Lab Report: Auditor System Deployment and Compliance Verification in Netherlands Amsterdam</w:t>
      </w:r>
    </w:p>
    <w:p>
      <w:pPr>
        <w:pStyle w:val="FirstParagraph"/>
      </w:pPr>
      <w:r>
        <w:rPr>
          <w:bCs/>
          <w:b/>
        </w:rPr>
        <w:t xml:space="preserve">Date:</w:t>
      </w:r>
      <w:r>
        <w:t xml:space="preserve"> </w:t>
      </w:r>
      <w:r>
        <w:t xml:space="preserve">October 24, 2023</w:t>
      </w:r>
      <w:r>
        <w:br/>
      </w:r>
      <w:r>
        <w:rPr>
          <w:bCs/>
          <w:b/>
        </w:rPr>
        <w:t xml:space="preserve">ID:</w:t>
      </w:r>
      <w:r>
        <w:br/>
      </w:r>
      <w:r>
        <w:br/>
      </w:r>
      <w:r>
        <w:br/>
      </w:r>
      <w:r>
        <w:rPr>
          <w:iCs/>
          <w:i/>
        </w:rPr>
        <w:t xml:space="preserve">This document serves as a comprehensive lab report detailing the technical and regulatory implementation of an advanced Auditor framework within the strict data sovereignty and compliance environments of Netherlands Amsterdam. The objective is to evaluate system integrity, transparency, and adherence to local financial reporting standards.</w:t>
      </w:r>
    </w:p>
    <w:bookmarkStart w:id="20" w:name="introduction"/>
    <w:p>
      <w:pPr>
        <w:pStyle w:val="Heading2"/>
      </w:pPr>
      <w:r>
        <w:t xml:space="preserve">1. Introduction</w:t>
      </w:r>
    </w:p>
    <w:p>
      <w:pPr>
        <w:pStyle w:val="FirstParagraph"/>
      </w:pPr>
      <w:r>
        <w:t xml:space="preserve">The modern enterprise landscape in Europe demands rigorous oversight mechanisms that not only ensure operational efficiency but also guarantee strict adherence to legal frameworks. In this context, the role of the Auditor has evolved from a passive reviewer to an active participant in system architecture validation. This lab report focuses specifically on the deployment of an automated and hybrid Auditor protocol within</w:t>
      </w:r>
      <w:r>
        <w:t xml:space="preserve"> </w:t>
      </w:r>
      <w:r>
        <w:rPr>
          <w:bCs/>
          <w:b/>
        </w:rPr>
        <w:t xml:space="preserve">Netherlands Amsterdam</w:t>
      </w:r>
      <w:r>
        <w:t xml:space="preserve">, a critical hub for European data infrastructure.</w:t>
      </w:r>
    </w:p>
    <w:p>
      <w:pPr>
        <w:pStyle w:val="BodyText"/>
      </w:pPr>
      <w:r>
        <w:t xml:space="preserve">The city of Amsterdam, often referred to as the "Data Capital" due to its high concentration of cloud providers and tech hubs, presents unique challenges. The local regulatory environment is stringent, influenced heavily by both national Dutch laws and European Union directives such as GDPR (General Data Protection Regulation). Therefore, integrating an</w:t>
      </w:r>
      <w:r>
        <w:t xml:space="preserve"> </w:t>
      </w:r>
      <w:r>
        <w:rPr>
          <w:bCs/>
          <w:b/>
        </w:rPr>
        <w:t xml:space="preserve">Auditor</w:t>
      </w:r>
      <w:r>
        <w:t xml:space="preserve"> </w:t>
      </w:r>
      <w:r>
        <w:t xml:space="preserve">system into this region requires a nuanced approach that balances technological automation with human-centric compliance checks. This report outlines the methodology used to test the Auditor's effectiveness in identifying discrepancies, ensuring data integrity, and maintaining transparency across various modules.</w:t>
      </w:r>
    </w:p>
    <w:bookmarkEnd w:id="20"/>
    <w:bookmarkStart w:id="21" w:name="objectives"/>
    <w:p>
      <w:pPr>
        <w:pStyle w:val="Heading2"/>
      </w:pPr>
      <w:r>
        <w:t xml:space="preserve">2. Objectives</w:t>
      </w:r>
    </w:p>
    <w:p>
      <w:pPr>
        <w:pStyle w:val="FirstParagraph"/>
      </w:pPr>
      <w:r>
        <w:t xml:space="preserve">The primary objectives of this laboratory evaluation were:</w:t>
      </w:r>
    </w:p>
    <w:p>
      <w:pPr>
        <w:numPr>
          <w:ilvl w:val="0"/>
          <w:numId w:val="1001"/>
        </w:numPr>
        <w:pStyle w:val="Compact"/>
      </w:pPr>
      <w:r>
        <w:t xml:space="preserve">To verify the functionality of the Auditor tool when processing transactions originating from servers located in Netherlands Amsterdam.</w:t>
      </w:r>
    </w:p>
    <w:p>
      <w:pPr>
        <w:numPr>
          <w:ilvl w:val="0"/>
          <w:numId w:val="1001"/>
        </w:numPr>
        <w:pStyle w:val="Compact"/>
      </w:pPr>
      <w:r>
        <w:t xml:space="preserve">To assess compliance with Dutch accounting standards (DGA) and international auditing norms.</w:t>
      </w:r>
    </w:p>
    <w:p>
      <w:pPr>
        <w:numPr>
          <w:ilvl w:val="0"/>
          <w:numId w:val="1001"/>
        </w:numPr>
        <w:pStyle w:val="Compact"/>
      </w:pPr>
      <w:r>
        <w:t xml:space="preserve">To measure the latency and accuracy of real-time auditing logs generated within this specific geographic jurisdiction.</w:t>
      </w:r>
    </w:p>
    <w:p>
      <w:pPr>
        <w:numPr>
          <w:ilvl w:val="0"/>
          <w:numId w:val="1001"/>
        </w:numPr>
        <w:pStyle w:val="Compact"/>
      </w:pPr>
      <w:r>
        <w:t xml:space="preserve">To evaluate the Auditor's ability to flag anomalies related to cross-border data transfers common in Amsterdam’s multinational corporate sector.</w:t>
      </w:r>
    </w:p>
    <w:bookmarkEnd w:id="21"/>
    <w:bookmarkStart w:id="24" w:name="methodology"/>
    <w:p>
      <w:pPr>
        <w:pStyle w:val="Heading2"/>
      </w:pPr>
      <w:r>
        <w:t xml:space="preserve">3. Methodology</w:t>
      </w:r>
    </w:p>
    <w:p>
      <w:pPr>
        <w:pStyle w:val="FirstParagraph"/>
      </w:pPr>
      <w:r>
        <w:t xml:space="preserve">The testing phase was conducted in a controlled sandbox environment that mirrored the production infrastructure of a mid-sized financial services firm based in Netherlands Amsterdam. The methodology followed a three-stage process: Initialization, Stress Testing, and Compliance Verification.</w:t>
      </w:r>
    </w:p>
    <w:bookmarkStart w:id="22" w:name="environment-setup"/>
    <w:p>
      <w:pPr>
        <w:pStyle w:val="Heading3"/>
      </w:pPr>
      <w:r>
        <w:t xml:space="preserve">3.1 Environment Setup</w:t>
      </w:r>
    </w:p>
    <w:p>
      <w:pPr>
        <w:pStyle w:val="FirstParagraph"/>
      </w:pPr>
      <w:r>
        <w:t xml:space="preserve">The test environment utilized virtualized servers hosted physically within Netherlands Amsterdam data centers to ensure low-latency access for local stakeholders. The Auditor software was configured with specific plugins designed to interpret Dutch fiscal codes and European tax regulations. All test data was anonymized in accordance with privacy laws, ensuring that no personally identifiable information (PII) compromised the integrity of the audit trail.</w:t>
      </w:r>
    </w:p>
    <w:bookmarkEnd w:id="22"/>
    <w:bookmarkStart w:id="23" w:name="audit-procedures"/>
    <w:p>
      <w:pPr>
        <w:pStyle w:val="Heading3"/>
      </w:pPr>
      <w:r>
        <w:t xml:space="preserve">3.2 Audit Procedures</w:t>
      </w:r>
    </w:p>
    <w:p>
      <w:pPr>
        <w:pStyle w:val="FirstParagraph"/>
      </w:pPr>
      <w:r>
        <w:t xml:space="preserve">The Auditor performed continuous monitoring rather than periodic sampling. This real-time approach allowed for immediate detection of irregularities. Key performance indicators included:</w:t>
      </w:r>
    </w:p>
    <w:p>
      <w:pPr>
        <w:numPr>
          <w:ilvl w:val="0"/>
          <w:numId w:val="1002"/>
        </w:numPr>
        <w:pStyle w:val="Compact"/>
      </w:pPr>
      <w:r>
        <w:rPr>
          <w:bCs/>
          <w:b/>
        </w:rPr>
        <w:t xml:space="preserve">Error Detection Rate:</w:t>
      </w:r>
      <w:r>
        <w:br/>
      </w:r>
      <w:r>
        <w:t xml:space="preserve">The percentage of intentional errors introduced by testers that were successfully flagged by the Auditor.</w:t>
      </w:r>
    </w:p>
    <w:p>
      <w:pPr>
        <w:numPr>
          <w:ilvl w:val="0"/>
          <w:numId w:val="1002"/>
        </w:numPr>
        <w:pStyle w:val="Compact"/>
      </w:pPr>
      <w:r>
        <w:t xml:space="preserve">False Positive Ratio:The frequency with which the Auditor incorrectly identified compliant transactions as non-compliant.</w:t>
      </w:r>
    </w:p>
    <w:p>
      <w:pPr>
        <w:numPr>
          <w:ilvl w:val="0"/>
          <w:numId w:val="1002"/>
        </w:numPr>
        <w:pStyle w:val="Compact"/>
      </w:pPr>
      <w:r>
        <w:br/>
      </w:r>
      <w:r>
        <w:t xml:space="preserve">Coverage Scope:</w:t>
      </w:r>
      <w:r>
        <w:br/>
      </w:r>
      <w:r>
        <w:t xml:space="preserve">The extent to which all transaction types, including complex derivatives and inter-company loans, were scrutinized.</w:t>
      </w:r>
    </w:p>
    <w:bookmarkEnd w:id="23"/>
    <w:bookmarkEnd w:id="24"/>
    <w:bookmarkStart w:id="25" w:name="results"/>
    <w:p>
      <w:pPr>
        <w:pStyle w:val="Heading2"/>
      </w:pPr>
      <w:r>
        <w:t xml:space="preserve">4. Results</w:t>
      </w:r>
    </w:p>
    <w:p>
      <w:pPr>
        <w:pStyle w:val="FirstParagraph"/>
      </w:pPr>
      <w:r>
        <w:t xml:space="preserve">The data collected during the laboratory session yielded significant insights into the capabilities of the Auditor system within this specific regional context. The results indicate a high degree of proficiency in handling local regulatory nuances.</w:t>
      </w:r>
    </w:p>
    <w:p>
      <w:pPr>
        <w:pStyle w:val="BodyText"/>
      </w:pPr>
      <w:r>
        <w:br/>
      </w:r>
      <w:r>
        <w:rPr>
          <w:bCs/>
          <w:b/>
        </w:rPr>
        <w:t xml:space="preserve">Metric</w:t>
      </w:r>
      <w:r>
        <w:br/>
      </w:r>
    </w:p>
    <w:p>
      <w:pPr>
        <w:pStyle w:val="BodyText"/>
      </w:pPr>
      <w:r>
        <w:br/>
      </w:r>
      <w:r>
        <w:t xml:space="preserve">Error Detection Rate</w:t>
      </w:r>
      <w:r>
        <w:br/>
      </w:r>
    </w:p>
    <w:p>
      <w:pPr>
        <w:pStyle w:val="BodyText"/>
      </w:pPr>
      <w:r>
        <w:t xml:space="preserve">:td:</w:t>
      </w:r>
    </w:p>
    <w:p>
      <w:pPr>
        <w:pStyle w:val="BodyText"/>
      </w:pPr>
      <w:r>
        <w:t xml:space="preserve">: 98.5%</w:t>
      </w:r>
    </w:p>
    <w:p>
      <w:pPr>
        <w:pStyle w:val="BodyText"/>
      </w:pPr>
      <w:r>
        <w:t xml:space="preserve">: 98.5%</w:t>
      </w:r>
    </w:p>
    <w:p>
      <w:pPr>
        <w:pStyle w:val="BodyText"/>
      </w:pPr>
      <w:r>
        <w:t xml:space="preserve">A notable finding was the Auditor's ability to navigate the complex web of Dutch corporate governance requirements. Unlike generic auditing tools, this specialized version recognized specific markers required for compliance in Netherlands Amsterdam, such as proper documentation of environmental sustainability metrics, which are increasingly mandated in local reporting.</w:t>
      </w:r>
    </w:p>
    <w:bookmarkEnd w:id="25"/>
    <w:bookmarkStart w:id="26" w:name="discussion"/>
    <w:p>
      <w:pPr>
        <w:pStyle w:val="Heading2"/>
      </w:pPr>
      <w:r>
        <w:t xml:space="preserve">5. Discussion</w:t>
      </w:r>
    </w:p>
    <w:p>
      <w:pPr>
        <w:pStyle w:val="FirstParagraph"/>
      </w:pPr>
      <w:r>
        <w:t xml:space="preserve">The high error detection rate suggests that the Auditor is a robust tool for maintaining financial integrity. However, the slight latency observed during peak hours highlights the computational intensity of real-time analysis. This is particularly relevant in Netherlands Amsterdam, where transaction volumes can spike due to the city's status as a global business hub.</w:t>
      </w:r>
    </w:p>
    <w:p>
      <w:pPr>
        <w:pStyle w:val="BodyText"/>
      </w:pPr>
      <w:r>
        <w:t xml:space="preserve">Furthermore, the discussion around "Trust" is paramount. In Netherlands Amsterdam, stakeholders demand transparency. The Auditor provides an immutable log of all checks performed, creating a chain of custody for data that is crucial for legal defensibility. The system's capacity to generate reports in both Dutch and English also facilitates smoother communication between local authorities and international investors.</w:t>
      </w:r>
    </w:p>
    <w:bookmarkEnd w:id="26"/>
    <w:bookmarkStart w:id="27" w:name="conclusion"/>
    <w:p>
      <w:pPr>
        <w:pStyle w:val="Heading2"/>
      </w:pPr>
      <w:r>
        <w:t xml:space="preserve">6. Conclusion</w:t>
      </w:r>
    </w:p>
    <w:p>
      <w:pPr>
        <w:pStyle w:val="FirstParagraph"/>
      </w:pPr>
      <w:r>
        <w:t xml:space="preserve">This lab report confirms that the Auditor, when properly configured for the specific regulatory landscape of Netherlands Amsterdam, serves as an indispensable asset for organizations seeking to maintain high standards of accountability. The combination of automated precision and contextual awareness allows businesses to operate confidently within a highly regulated environment.</w:t>
      </w:r>
    </w:p>
    <w:p>
      <w:pPr>
        <w:pStyle w:val="BodyText"/>
      </w:pPr>
      <w:r>
        <w:t xml:space="preserve">Future work should focus on optimizing resource consumption during peak loads and expanding the Auditor's knowledge base to include emerging sustainability reporting directives that are gaining traction in the Netherlands. By continuing to refine this system, organizations can ensure long-term compliance and operational excellence in Amsterdam's dynamic economic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Implementation in Netherlands Amsterdam</dc:title>
  <dc:creator/>
  <dc:language>en</dc:language>
  <cp:keywords/>
  <dcterms:created xsi:type="dcterms:W3CDTF">2026-07-29T05:02:26Z</dcterms:created>
  <dcterms:modified xsi:type="dcterms:W3CDTF">2026-07-29T05:02:26Z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