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Analysis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4" w:name="X6f7dcb5229b0268eff8d3fdb929d941c7368735"/>
    <w:p>
      <w:pPr>
        <w:pStyle w:val="Heading1"/>
      </w:pPr>
      <w:r>
        <w:t xml:space="preserve">Lab Report:</w:t>
      </w:r>
      <w:r>
        <w:t xml:space="preserve"> </w:t>
      </w:r>
      <w:r>
        <w:t xml:space="preserve">Comprehensive Analysis of the</w:t>
      </w:r>
      <w:r>
        <w:t xml:space="preserve"> </w:t>
      </w:r>
      <w:r>
        <w:t xml:space="preserve">Auditor</w:t>
      </w:r>
      <w:r>
        <w:t xml:space="preserve"> </w:t>
      </w:r>
      <w:r>
        <w:t xml:space="preserve">Role in the Context of</w:t>
      </w:r>
      <w:r>
        <w:t xml:space="preserve"> </w:t>
      </w:r>
      <w:r>
        <w:t xml:space="preserve">New Zealand Auckland</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Regulatory Compliance Committee</w:t>
      </w:r>
      <w:r>
        <w:br/>
      </w:r>
      <w:r>
        <w:rPr>
          <w:bCs/>
          <w:b/>
        </w:rPr>
        <w:t xml:space="preserve">Jurisdiction:</w:t>
      </w:r>
      <w:r>
        <w:t xml:space="preserve"> </w:t>
      </w:r>
      <w:r>
        <w:t xml:space="preserve">New Zealand Auckland</w:t>
      </w:r>
    </w:p>
    <w:bookmarkStart w:id="20" w:name="executive-summary"/>
    <w:p>
      <w:pPr>
        <w:pStyle w:val="Heading2"/>
      </w:pPr>
      <w:r>
        <w:t xml:space="preserve">1. Executive Summary</w:t>
      </w:r>
    </w:p>
    <w:p>
      <w:pPr>
        <w:pStyle w:val="FirstParagraph"/>
      </w:pPr>
      <w:r>
        <w:t xml:space="preserve">This report serves as a critical examination of the operational frameworks, regulatory obligations, and ethical standards governing the</w:t>
      </w:r>
      <w:r>
        <w:t xml:space="preserve"> </w:t>
      </w:r>
      <w:r>
        <w:t xml:space="preserve">Auditor</w:t>
      </w:r>
      <w:r>
        <w:t xml:space="preserve"> </w:t>
      </w:r>
      <w:r>
        <w:t xml:space="preserve">within the specific geographic and economic context of</w:t>
      </w:r>
    </w:p>
    <w:p>
      <w:pPr>
        <w:pStyle w:val="BodyText"/>
      </w:pPr>
      <w:r>
        <w:t xml:space="preserve">New Zealand Auckland. As the primary commercial hub of New Zealand, Auckland presents a unique set of challenges and opportunities for audit professionals. This document synthesizes current regulatory requirements under the External Reporting Act 1978 and International Standards on Auditing (ISA) as adopted by New Zealand Society of Accountants (NZSA). The findings emphasize the necessity for rigorous due diligence, particularly in light of Auckland's dynamic property market, diverse corporate sector, and evolving environmental regulations.</w:t>
      </w:r>
    </w:p>
    <w:bookmarkEnd w:id="20"/>
    <w:bookmarkStart w:id="21" w:name="introduction"/>
    <w:p>
      <w:pPr>
        <w:pStyle w:val="Heading2"/>
      </w:pPr>
      <w:r>
        <w:t xml:space="preserve">2. Introduction</w:t>
      </w:r>
    </w:p>
    <w:p>
      <w:pPr>
        <w:pStyle w:val="FirstParagraph"/>
      </w:pPr>
      <w:r>
        <w:t xml:space="preserve">The role of an</w:t>
      </w:r>
      <w:r>
        <w:t xml:space="preserve"> </w:t>
      </w:r>
      <w:r>
        <w:t xml:space="preserve">Auditor</w:t>
      </w:r>
      <w:r>
        <w:t xml:space="preserve"> </w:t>
      </w:r>
      <w:r>
        <w:t xml:space="preserve">extends beyond mere financial verification; it is a cornerstone of public trust in the financial reporting system. In</w:t>
      </w:r>
    </w:p>
    <w:p>
      <w:pPr>
        <w:pStyle w:val="BodyText"/>
      </w:pPr>
      <w:r>
        <w:t xml:space="preserve">New Zealand Auckland, where multinational corporations, small-to-medium enterprises (SMEs), and complex indigenous business structures intersect, the auditor’s responsibility is magnified. The objective of this lab report is to deconstruct the multifaceted duties of an auditor operating in this region, analyzing how local legislation and international best practices converge to ensure transparency and accountability.</w:t>
      </w:r>
    </w:p>
    <w:bookmarkEnd w:id="21"/>
    <w:bookmarkStart w:id="24" w:name="X7a0169018ab3202de99a734bd306d6a9245cb29"/>
    <w:p>
      <w:pPr>
        <w:pStyle w:val="Heading2"/>
      </w:pPr>
      <w:r>
        <w:t xml:space="preserve">3. Regulatory Framework in New Zealand Auckland</w:t>
      </w:r>
    </w:p>
    <w:p>
      <w:pPr>
        <w:pStyle w:val="FirstParagraph"/>
      </w:pPr>
      <w:r>
        <w:t xml:space="preserve">The audit landscape in</w:t>
      </w:r>
    </w:p>
    <w:p>
      <w:pPr>
        <w:pStyle w:val="BodyText"/>
      </w:pPr>
      <w:r>
        <w:t xml:space="preserve">New Zealand Auckland is primarily governed by the Companies Act 1993, which mandates that certain entities undergo annual audits. However, the most significant regulatory influence comes from the Financial Reporting Standards (FRS) issued by the External Reporting Board (XRB). For large entities in Auckland, adherence to New Zealand Equivalents to International Public Sector Accounting Standards (NZ IFRS) or NZ IAS is compulsory.</w:t>
      </w:r>
    </w:p>
    <w:bookmarkStart w:id="22" w:name="the-role-of-xrb-and-nzica"/>
    <w:p>
      <w:pPr>
        <w:pStyle w:val="Heading3"/>
      </w:pPr>
      <w:r>
        <w:t xml:space="preserve">3.1. The Role of XRB and NZICA</w:t>
      </w:r>
    </w:p>
    <w:p>
      <w:pPr>
        <w:pStyle w:val="FirstParagraph"/>
      </w:pPr>
      <w:r>
        <w:t xml:space="preserve">The External Reporting Board sets the standards for external reporting, while the New Zealand Institute of Chartered Accountants (NZICA) provides professional guidance and ethical codes. An</w:t>
      </w:r>
      <w:r>
        <w:t xml:space="preserve"> </w:t>
      </w:r>
      <w:r>
        <w:t xml:space="preserve">Auditor</w:t>
      </w:r>
      <w:r>
        <w:t xml:space="preserve"> </w:t>
      </w:r>
      <w:r>
        <w:t xml:space="preserve">based in Auckland must be a member of NZICA to practice legally. The code mandates integrity, objectivity, professional competence, and confidentiality—principles that are strictly enforced by the Auditing and Assurance Standards Board (AASB).</w:t>
      </w:r>
    </w:p>
    <w:bookmarkEnd w:id="22"/>
    <w:bookmarkStart w:id="23" w:name="X1385c16c0fc0a8d634b87c255e862c6e8c8c93b"/>
    <w:p>
      <w:pPr>
        <w:pStyle w:val="Heading3"/>
      </w:pPr>
      <w:r>
        <w:t xml:space="preserve">3.2. Local Specifics: Auckland Regional Dynamics</w:t>
      </w:r>
    </w:p>
    <w:p>
      <w:pPr>
        <w:pStyle w:val="FirstParagraph"/>
      </w:pPr>
      <w:r>
        <w:t xml:space="preserve">Auckland’s economy is heavily weighted towards finance, real estate development, and technology. Consequently, auditors in this region must possess specialized knowledge in property valuation and construction accounting. Furthermore, given the significant Māori economic presence (Tangata Whenua), auditors must also demonstrate cultural competence and understand the implications of Treaty of Waitangi settlements on corporate governance.</w:t>
      </w:r>
    </w:p>
    <w:bookmarkEnd w:id="23"/>
    <w:bookmarkEnd w:id="24"/>
    <w:bookmarkStart w:id="25" w:name="methodology-the-audit-process"/>
    <w:p>
      <w:pPr>
        <w:pStyle w:val="Heading2"/>
      </w:pPr>
      <w:r>
        <w:t xml:space="preserve">4. Methodology: The Audit Process</w:t>
      </w:r>
    </w:p>
    <w:p>
      <w:pPr>
        <w:pStyle w:val="FirstParagraph"/>
      </w:pPr>
      <w:r>
        <w:t xml:space="preserve">To illustrate the practical application of auditing standards in</w:t>
      </w:r>
    </w:p>
    <w:p>
      <w:pPr>
        <w:pStyle w:val="BodyText"/>
      </w:pPr>
      <w:r>
        <w:t xml:space="preserve">New Zealand Auckland, this section outlines the standard audit methodology adapted for local entities.</w:t>
      </w:r>
    </w:p>
    <w:p>
      <w:pPr>
        <w:numPr>
          <w:ilvl w:val="0"/>
          <w:numId w:val="1001"/>
        </w:numPr>
      </w:pPr>
      <w:r>
        <w:rPr>
          <w:bCs/>
          <w:b/>
        </w:rPr>
        <w:t xml:space="preserve">Risk Assessment:</w:t>
      </w:r>
    </w:p>
    <w:p>
      <w:pPr>
        <w:numPr>
          <w:ilvl w:val="0"/>
          <w:numId w:val="1001"/>
        </w:numPr>
        <w:pStyle w:val="Compact"/>
      </w:pPr>
      <w:r>
        <w:t xml:space="preserve">The auditor begins by understanding the entity’s business environment. In Auckland, this includes analyzing interest rate fluctuations impacting mortgage lenders and commercial developers.</w:t>
      </w:r>
    </w:p>
    <w:p>
      <w:pPr>
        <w:numPr>
          <w:ilvl w:val="0"/>
          <w:numId w:val="1002"/>
        </w:numPr>
        <w:pStyle w:val="Compact"/>
      </w:pPr>
      <w:r>
        <w:t xml:space="preserve">**Materiality Determination:** Establishing a threshold for misstatements. Given the high value of assets in central Auckland, materiality thresholds are often set with greater precision.</w:t>
      </w:r>
    </w:p>
    <w:p>
      <w:pPr>
        <w:pStyle w:val="FirstParagraph"/>
      </w:pPr>
      <w:r>
        <w:t xml:space="preserve">4.</w:t>
      </w:r>
      <w:r>
        <w:rPr>
          <w:bCs/>
          <w:b/>
        </w:rPr>
        <w:t xml:space="preserve">Nature, Timing, and Extent of Procedures:</w:t>
      </w:r>
    </w:p>
    <w:p>
      <w:pPr>
        <w:numPr>
          <w:ilvl w:val="0"/>
          <w:numId w:val="1003"/>
        </w:numPr>
        <w:pStyle w:val="Compact"/>
      </w:pPr>
      <w:r>
        <w:t xml:space="preserve">Substantive testing is conducted to verify balances. This involves direct confirmation with banks and customers located across the Auckland metropolitan area.</w:t>
      </w:r>
    </w:p>
    <w:p>
      <w:pPr>
        <w:numPr>
          <w:ilvl w:val="0"/>
          <w:numId w:val="1004"/>
        </w:numPr>
        <w:pStyle w:val="Compact"/>
      </w:pPr>
      <w:r>
        <w:t xml:space="preserve">**Evaluation of Internal Controls:</w:t>
      </w:r>
    </w:p>
    <w:p>
      <w:pPr>
        <w:pStyle w:val="FirstParagraph"/>
      </w:pPr>
      <w:r>
        <w:t xml:space="preserve">The auditor assesses the effectiveness of the client’s internal control systems, focusing on IT security and fraud prevention mechanisms, which are critical in Auckland’s digital-first financial sector.</w:t>
      </w:r>
    </w:p>
    <w:bookmarkEnd w:id="25"/>
    <w:bookmarkStart w:id="29" w:name="X8d03f74b1d88b0ce64c3de4ce6eff0d38ca3e0c"/>
    <w:p>
      <w:pPr>
        <w:pStyle w:val="Heading2"/>
      </w:pPr>
      <w:r>
        <w:t xml:space="preserve">5. Challenges Specific to Auditors in New Zealand Auckland</w:t>
      </w:r>
    </w:p>
    <w:bookmarkStart w:id="26" w:name="resource-scarcity-and-workload"/>
    <w:p>
      <w:pPr>
        <w:pStyle w:val="Heading3"/>
      </w:pPr>
      <w:r>
        <w:t xml:space="preserve">5.1. Resource Scarcity and Workload</w:t>
      </w:r>
    </w:p>
    <w:p>
      <w:pPr>
        <w:pStyle w:val="FirstParagraph"/>
      </w:pPr>
      <w:r>
        <w:t xml:space="preserve">Auckland is the largest employment hub in New Zealand, but there is a noted shortage of qualified chartered accountants specializing in audit. This scarcity leads to increased workloads for existing auditors, raising the risk of burnout and potential errors. The</w:t>
      </w:r>
    </w:p>
    <w:p>
      <w:pPr>
        <w:pStyle w:val="BodyText"/>
      </w:pPr>
      <w:r>
        <w:t xml:space="preserve">Auditor must therefore rely heavily on technology and data analytics to maintain efficiency.</w:t>
      </w:r>
    </w:p>
    <w:bookmarkEnd w:id="26"/>
    <w:bookmarkStart w:id="27" w:name="complexity-of-conglomerate-structures"/>
    <w:p>
      <w:pPr>
        <w:pStyle w:val="Heading3"/>
      </w:pPr>
      <w:r>
        <w:t xml:space="preserve">5.2. Complexity of Conglomerate Structures</w:t>
      </w:r>
    </w:p>
    <w:p>
      <w:pPr>
        <w:pStyle w:val="FirstParagraph"/>
      </w:pPr>
      <w:r>
        <w:t xml:space="preserve">Many Auckland-based firms are part of larger international conglomerates or have complex cross-border holdings. Auditing these entities requires navigating transfer pricing issues, foreign exchange fluctuations, and differing jurisdictional reporting requirements.</w:t>
      </w:r>
    </w:p>
    <w:bookmarkEnd w:id="27"/>
    <w:bookmarkStart w:id="28" w:name="environmental-reporting-esg"/>
    <w:p>
      <w:pPr>
        <w:pStyle w:val="Heading3"/>
      </w:pPr>
      <w:r>
        <w:t xml:space="preserve">5.3. Environmental Reporting (ESG)</w:t>
      </w:r>
    </w:p>
    <w:p>
      <w:pPr>
        <w:pStyle w:val="FirstParagraph"/>
      </w:pPr>
      <w:r>
        <w:t xml:space="preserve">New Zealand is increasingly focusing on Environmental, Social, and Governance (ESG) reporting. Auckland’s vulnerability to climate change makes this particularly relevant for local businesses. Auditors are now expected to provide limited assurance on non-financial disclosures, such as carbon emissions and sustainability metrics, adding a new layer of complexity to the traditional audit role.</w:t>
      </w:r>
    </w:p>
    <w:bookmarkEnd w:id="28"/>
    <w:bookmarkEnd w:id="29"/>
    <w:bookmarkStart w:id="30" w:name="X74ac4e9d8afdb9524b81695265243a84be3364f"/>
    <w:p>
      <w:pPr>
        <w:pStyle w:val="Heading2"/>
      </w:pPr>
      <w:r>
        <w:t xml:space="preserve">6. Case Study: Audit of a Major Auckland Property Developer</w:t>
      </w:r>
    </w:p>
    <w:p>
      <w:pPr>
        <w:pStyle w:val="FirstParagraph"/>
      </w:pPr>
      <w:r>
        <w:t xml:space="preserve">To contextualize these challenges, consider the hypothetical audit of "Auckland Heights Developments Ltd." The</w:t>
      </w:r>
    </w:p>
    <w:p>
      <w:pPr>
        <w:pStyle w:val="BodyText"/>
      </w:pPr>
      <w:r>
        <w:t xml:space="preserve">Auditor faced significant hurdles in verifying the valuation of land assets, which constitute 70% of the company’s balance sheet. Key procedures included:</w:t>
      </w:r>
    </w:p>
    <w:p>
      <w:pPr>
        <w:numPr>
          <w:ilvl w:val="0"/>
          <w:numId w:val="1005"/>
        </w:numPr>
        <w:pStyle w:val="Compact"/>
      </w:pPr>
      <w:r>
        <w:t xml:space="preserve">Engaging independent valuers to assess land values against recent sales data in regions like Ponsonby and Newmarket.</w:t>
      </w:r>
    </w:p>
    <w:p>
      <w:pPr>
        <w:numPr>
          <w:ilvl w:val="0"/>
          <w:numId w:val="1005"/>
        </w:numPr>
        <w:pStyle w:val="Compact"/>
      </w:pPr>
      <w:r>
        <w:t xml:space="preserve">Reviewing council consents and resource management compliance with Auckland Council regulations.</w:t>
      </w:r>
    </w:p>
    <w:p>
      <w:pPr>
        <w:numPr>
          <w:ilvl w:val="0"/>
          <w:numId w:val="1005"/>
        </w:numPr>
        <w:pStyle w:val="Compact"/>
      </w:pPr>
      <w:r>
        <w:t xml:space="preserve">Analyzing pre-sale contracts to recognize revenue accurately under NZ IFRS 15 (Revenue from Contracts with Customers).</w:t>
      </w:r>
    </w:p>
    <w:p>
      <w:pPr>
        <w:pStyle w:val="FirstParagraph"/>
      </w:pPr>
      <w:r>
        <w:t xml:space="preserve">The audit concluded with an unqualified opinion, highlighting the auditor’s diligence in addressing the unique risks of the Auckland property market.</w:t>
      </w:r>
    </w:p>
    <w:bookmarkEnd w:id="30"/>
    <w:bookmarkStart w:id="31" w:name="ethical-considerations-and-independence"/>
    <w:p>
      <w:pPr>
        <w:pStyle w:val="Heading2"/>
      </w:pPr>
      <w:r>
        <w:t xml:space="preserve">7. Ethical Considerations and Independence</w:t>
      </w:r>
    </w:p>
    <w:p>
      <w:pPr>
        <w:pStyle w:val="FirstParagraph"/>
      </w:pPr>
      <w:r>
        <w:t xml:space="preserve">Independence is paramount. In a close-knit business community like Auckland, where personal relationships can intersect with professional duties, auditors must rigorously apply self-review and advocacy threats assessments. The NZICA code requires auditors to rotate engagement partners every five years for public interest entities to safeguard objectivity.</w:t>
      </w:r>
    </w:p>
    <w:bookmarkEnd w:id="31"/>
    <w:bookmarkStart w:id="32" w:name="conclusion"/>
    <w:p>
      <w:pPr>
        <w:pStyle w:val="Heading2"/>
      </w:pPr>
      <w:r>
        <w:t xml:space="preserve">8. Conclusion</w:t>
      </w:r>
    </w:p>
    <w:p>
      <w:pPr>
        <w:pStyle w:val="FirstParagraph"/>
      </w:pPr>
      <w:r>
        <w:t xml:space="preserve">The role of the</w:t>
      </w:r>
    </w:p>
    <w:p>
      <w:pPr>
        <w:pStyle w:val="BodyText"/>
      </w:pPr>
      <w:r>
        <w:t xml:space="preserve">Auditor in</w:t>
      </w:r>
    </w:p>
    <w:p>
      <w:pPr>
        <w:pStyle w:val="BodyText"/>
      </w:pPr>
      <w:r>
        <w:t xml:space="preserve">New Zealand Auckland is increasingly complex, requiring a blend of technical accounting expertise, local market knowledge, and ethical fortitude. As the economic landscape evolves with new regulations around sustainability and digital assets, auditors must remain adaptable. This report confirms that rigorous adherence to NZ IFRS and ISA standards, coupled with an understanding of local Auckland-specific dynamics is essential for maintaining high-quality audits.</w:t>
      </w:r>
    </w:p>
    <w:bookmarkEnd w:id="32"/>
    <w:bookmarkStart w:id="33" w:name="recommendations"/>
    <w:p>
      <w:pPr>
        <w:pStyle w:val="Heading2"/>
      </w:pPr>
      <w:r>
        <w:t xml:space="preserve">9. Recommendations</w:t>
      </w:r>
    </w:p>
    <w:p>
      <w:pPr>
        <w:pStyle w:val="FirstParagraph"/>
      </w:pPr>
      <w:r>
        <w:t xml:space="preserve">Enhance training programs focused on ESG reporting for Auckland-based auditors.</w:t>
      </w:r>
    </w:p>
    <w:p>
      <w:pPr>
        <w:pStyle w:val="BodyText"/>
      </w:pPr>
      <w:r>
        <w:t xml:space="preserve">Increase collaboration between universities in New Zealand to produce more qualified accounting graduates specializing in audit and assurance.</w:t>
      </w:r>
    </w:p>
    <w:p>
      <w:pPr>
        <w:pStyle w:val="BodyText"/>
      </w:pPr>
      <w:r>
        <w:t xml:space="preserve">The integrity of the financial markets in</w:t>
      </w:r>
    </w:p>
    <w:p>
      <w:pPr>
        <w:pStyle w:val="BodyText"/>
      </w:pPr>
      <w:r>
        <w:t xml:space="preserve">New Zealand Auckland depends on the robustness of its auditing profession. Continuous improvement and regulatory vigilance are required to uphold these standards.</w:t>
      </w:r>
    </w:p>
    <w:p>
      <w:r>
        <w:pict>
          <v:rect style="width:0;height:1.5pt" o:hralign="center" o:hrstd="t" o:hr="t"/>
        </w:pict>
      </w:r>
    </w:p>
    <w:p>
      <w:pPr>
        <w:pStyle w:val="FirstParagraph"/>
      </w:pPr>
      <w:r>
        <w:rPr>
          <w:iCs/>
          <w:i/>
        </w:rPr>
        <w:t xml:space="preserve">Disclaimer: This lab report is for educational and informational purposes only. It does not constitute professional audit advice.</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5">
    <w:nsid w:val="A99205"/>
    <w:multiLevelType w:val="multilevel"/>
    <w:lvl w:ilvl="0">
      <w:start w:val="5"/>
      <w:numFmt w:val="decimal"/>
      <w:lvlText w:val="%1."/>
      <w:lvlJc w:val="left"/>
      <w:pPr>
        <w:ind w:left="720" w:hanging="480"/>
      </w:pPr>
    </w:lvl>
    <w:lvl w:ilvl="1">
      <w:start w:val="5"/>
      <w:numFmt w:val="lowerLetter"/>
      <w:lvlText w:val="%2."/>
      <w:lvlJc w:val="left"/>
      <w:pPr>
        <w:ind w:left="1440" w:hanging="480"/>
      </w:pPr>
    </w:lvl>
    <w:lvl w:ilvl="2">
      <w:start w:val="5"/>
      <w:numFmt w:val="lowerRoman"/>
      <w:lvlText w:val="%3."/>
      <w:lvlJc w:val="left"/>
      <w:pPr>
        <w:ind w:left="2160" w:hanging="480"/>
      </w:pPr>
    </w:lvl>
    <w:lvl w:ilvl="3">
      <w:start w:val="5"/>
      <w:numFmt w:val="decimal"/>
      <w:lvlText w:val="%4."/>
      <w:lvlJc w:val="left"/>
      <w:pPr>
        <w:ind w:left="2880" w:hanging="480"/>
      </w:pPr>
    </w:lvl>
    <w:lvl w:ilvl="4">
      <w:start w:val="5"/>
      <w:numFmt w:val="lowerLetter"/>
      <w:lvlText w:val="%5."/>
      <w:lvlJc w:val="left"/>
      <w:pPr>
        <w:ind w:left="3600" w:hanging="480"/>
      </w:pPr>
    </w:lvl>
    <w:lvl w:ilvl="5">
      <w:start w:val="5"/>
      <w:numFmt w:val="lowerRoman"/>
      <w:lvlText w:val="%6."/>
      <w:lvlJc w:val="left"/>
      <w:pPr>
        <w:ind w:left="4320" w:hanging="480"/>
      </w:pPr>
    </w:lvl>
    <w:lvl w:ilvl="6">
      <w:start w:val="5"/>
      <w:numFmt w:val="decimal"/>
      <w:lvlText w:val="%7."/>
      <w:lvlJc w:val="left"/>
      <w:pPr>
        <w:ind w:left="5040" w:hanging="480"/>
      </w:pPr>
    </w:lvl>
    <w:lvl w:ilvl="7">
      <w:start w:val="5"/>
      <w:numFmt w:val="lowerLetter"/>
      <w:lvlText w:val="%8."/>
      <w:lvlJc w:val="left"/>
      <w:pPr>
        <w:ind w:left="5760" w:hanging="480"/>
      </w:pPr>
    </w:lvl>
    <w:lvl w:ilvl="8">
      <w:start w:val="5"/>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Analysis in New Zealand Auckland</dc:title>
  <dc:creator/>
  <dc:language>en</dc:language>
  <cp:keywords/>
  <dcterms:created xsi:type="dcterms:W3CDTF">2026-07-30T00:30:17Z</dcterms:created>
  <dcterms:modified xsi:type="dcterms:W3CDTF">2026-07-30T00:30:17Z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