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Operations</w:t>
      </w:r>
      <w:r>
        <w:t xml:space="preserve"> </w:t>
      </w:r>
      <w:r>
        <w:t xml:space="preserve">in</w:t>
      </w:r>
      <w:r>
        <w:t xml:space="preserve"> </w:t>
      </w:r>
      <w:r>
        <w:t xml:space="preserve">Qatar</w:t>
      </w:r>
      <w:r>
        <w:t xml:space="preserve"> </w:t>
      </w:r>
      <w:r>
        <w:t xml:space="preserve">Doha</w:t>
      </w:r>
    </w:p>
    <w:bookmarkStart w:id="30" w:name="X8e385926f524223625106a3f1847d4c4a22a370"/>
    <w:p>
      <w:pPr>
        <w:pStyle w:val="Heading1"/>
      </w:pPr>
      <w:r>
        <w:t xml:space="preserve">Laboratory Report: Comprehensive Audit Framework for Commercial Entities in Qatar Doha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Regulatory Compliance Board, Qatar Financial Centre Authority</w:t>
      </w:r>
      <w:r>
        <w:br/>
      </w:r>
    </w:p>
    <w:p>
      <w:pPr>
        <w:pStyle w:val="BodyText"/>
      </w:pPr>
      <w:r>
        <w:t xml:space="preserve">From:Senior Auditor Division – Middle East Operations</w:t>
      </w:r>
      <w:r>
        <w:br/>
      </w:r>
      <w:r>
        <w:rPr>
          <w:bCs/>
          <w:b/>
        </w:rPr>
        <w:t xml:space="preserve">Subject:</w:t>
      </w:r>
      <w:r>
        <w:t xml:space="preserve"> </w:t>
      </w:r>
      <w:r>
        <w:t xml:space="preserve">Evaluation of Audit Protocols and Integrity Standards within the Jurisdiction of Qatar Doha</w:t>
      </w:r>
    </w:p>
    <w:bookmarkStart w:id="20" w:name="executive-summary"/>
    <w:p>
      <w:pPr>
        <w:pStyle w:val="Heading2"/>
      </w:pPr>
      <w:r>
        <w:t xml:space="preserve">1.0 Executive Summary</w:t>
      </w:r>
    </w:p>
    <w:p>
      <w:pPr>
        <w:pStyle w:val="FirstParagraph"/>
      </w:pPr>
      <w:r>
        <w:t xml:space="preserve">This laboratory report serves as a critical analysis of the auditing methodologies currently employed within the commercial sector of Qatar Doha. As Qatar Doha continues to solidify its position as a premier global hub for finance, logistics, and energy, the role of the Auditor becomes increasingly pivotal. This document investigates how strict adherence to international auditing standards intersects with local regulatory frameworks specific to Qatar Doha. The primary objective is to determine if current auditor practices sufficiently mitigate risk and ensure transparency in an economy undergoing rapid transformation.</w:t>
      </w:r>
    </w:p>
    <w:bookmarkEnd w:id="20"/>
    <w:bookmarkStart w:id="21" w:name="introduction"/>
    <w:p>
      <w:pPr>
        <w:pStyle w:val="Heading2"/>
      </w:pPr>
      <w:r>
        <w:t xml:space="preserve">2.0 Introduction</w:t>
      </w:r>
    </w:p>
    <w:p>
      <w:pPr>
        <w:pStyle w:val="FirstParagraph"/>
      </w:pPr>
      <w:r>
        <w:t xml:space="preserve">The term "Laboratory Report" in this context metaphorically treats the economic environment of Qatar Doha as a controlled experiment where variables such as regulatory compliance, corporate governance, and financial reporting are tested for stability. In this setting, the Auditor acts not merely as an observer but as an active agent of verification. The unique geopolitical and economic landscape of Qatar Doha presents distinct challenges that require specialized audit approaches.</w:t>
      </w:r>
    </w:p>
    <w:p>
      <w:pPr>
        <w:pStyle w:val="BodyText"/>
      </w:pPr>
      <w:r>
        <w:t xml:space="preserve">Traditionally, audits were retrospective examinations of historical data. However, in the dynamic market of Qatar Doha, modern auditing has evolved into a predictive and preventive discipline. This report argues that the efficacy of an Auditor is directly correlated to their ability to navigate the dual pressures of maintaining international accounting standards (such as IFRS) while respecting local cultural and legal nuances inherent to Qatar Doha.</w:t>
      </w:r>
    </w:p>
    <w:bookmarkEnd w:id="21"/>
    <w:bookmarkStart w:id="22" w:name="methodology"/>
    <w:p>
      <w:pPr>
        <w:pStyle w:val="Heading2"/>
      </w:pPr>
      <w:r>
        <w:t xml:space="preserve">3.0 Methodology</w:t>
      </w:r>
    </w:p>
    <w:p>
      <w:pPr>
        <w:pStyle w:val="FirstParagraph"/>
      </w:pPr>
      <w:r>
        <w:t xml:space="preserve">To conduct this laboratory-style analysis, data was gathered from three primary sources:</w:t>
      </w:r>
    </w:p>
    <w:p>
      <w:pPr>
        <w:numPr>
          <w:ilvl w:val="0"/>
          <w:numId w:val="1001"/>
        </w:numPr>
        <w:pStyle w:val="Compact"/>
      </w:pPr>
      <w:r>
        <w:rPr>
          <w:bCs/>
          <w:b/>
        </w:rPr>
        <w:t xml:space="preserve">Juridical Review:</w:t>
      </w:r>
      <w:r>
        <w:t xml:space="preserve">An examination of the Qatar Financial Companies Law and the regulations set forth by the Qatar Central Bank.</w:t>
      </w:r>
    </w:p>
    <w:p>
      <w:pPr>
        <w:numPr>
          <w:ilvl w:val="0"/>
          <w:numId w:val="1001"/>
        </w:numPr>
        <w:pStyle w:val="Compact"/>
      </w:pPr>
      <w:r>
        <w:rPr>
          <w:bCs/>
          <w:b/>
        </w:rPr>
        <w:t xml:space="preserve">Field Observation:</w:t>
      </w:r>
      <w:r>
        <w:t xml:space="preserve">A simulated audit trail conducted within a hypothetical multinational corporation headquartered in Doha Business Park.</w:t>
      </w:r>
    </w:p>
    <w:p>
      <w:pPr>
        <w:numPr>
          <w:ilvl w:val="0"/>
          <w:numId w:val="1001"/>
        </w:numPr>
        <w:pStyle w:val="Compact"/>
      </w:pPr>
      <w:r>
        <w:rPr>
          <w:bCs/>
          <w:b/>
        </w:rPr>
        <w:t xml:space="preserve">Semantic Analysis:</w:t>
      </w:r>
      <w:r>
        <w:t xml:space="preserve"> </w:t>
      </w:r>
      <w:r>
        <w:t xml:space="preserve">An evaluation of terminology used in financial disclosures to ensure clarity and compliance with both local Arabic legal requirements and English international reporting standards.</w:t>
      </w:r>
    </w:p>
    <w:p>
      <w:pPr>
        <w:pStyle w:val="FirstParagraph"/>
      </w:pPr>
      <w:r>
        <w:t xml:space="preserve">The central variable under investigation is the "Auditor." We analyzed their decision-making processes, ethical boundaries, and technical proficiency. The environment, defined as "Qatar Doha," provided the constraints within which these audits were performed.</w:t>
      </w:r>
    </w:p>
    <w:bookmarkEnd w:id="22"/>
    <w:bookmarkStart w:id="25" w:name="the-role-of-the-auditor-in-qatar-doha"/>
    <w:p>
      <w:pPr>
        <w:pStyle w:val="Heading2"/>
      </w:pPr>
      <w:r>
        <w:t xml:space="preserve">4.0 The Role of the Auditor in Qatar Doha</w:t>
      </w:r>
    </w:p>
    <w:p>
      <w:pPr>
        <w:pStyle w:val="FirstParagraph"/>
      </w:pPr>
      <w:r>
        <w:t xml:space="preserve">The Auditor in this context functions as the guardian of financial integrity. In Qatar Doha, where public-private partnerships are prevalent, the stakes for accurate auditing are exceptionally high. A failure in auditing can lead not only to corporate insolvency but also to a loss of investor confidence on an international scale.</w:t>
      </w:r>
    </w:p>
    <w:bookmarkStart w:id="23" w:name="regulatory-alignment"/>
    <w:p>
      <w:pPr>
        <w:pStyle w:val="Heading3"/>
      </w:pPr>
      <w:r>
        <w:t xml:space="preserve">4.1 Regulatory Alignment</w:t>
      </w:r>
    </w:p>
    <w:p>
      <w:pPr>
        <w:pStyle w:val="FirstParagraph"/>
      </w:pPr>
      <w:r>
        <w:t xml:space="preserve">Auditors operating in Qatar Doha must possess a dual competency. They must be fluent in the technical language of global finance while simultaneously understanding the local regulatory imperatives. For instance, recent updates to Qatari laws regarding anti-money laundering (AML) require Auditors to perform enhanced due diligence procedures that go beyond standard balance sheet checks. This report highlights that Auditors who fail to adapt to these specific Qatar Doha requirements are exposed significant operational risks.</w:t>
      </w:r>
    </w:p>
    <w:bookmarkEnd w:id="23"/>
    <w:bookmarkStart w:id="24" w:name="technological-integration"/>
    <w:p>
      <w:pPr>
        <w:pStyle w:val="Heading3"/>
      </w:pPr>
      <w:r>
        <w:t xml:space="preserve">4.2 Technological Integration</w:t>
      </w:r>
    </w:p>
    <w:p>
      <w:pPr>
        <w:pStyle w:val="FirstParagraph"/>
      </w:pPr>
      <w:r>
        <w:t xml:space="preserve">The modern Auditor in Qatar Doha is increasingly reliant on data analytics and artificial intelligence. The "Laboratory" of the audit firm now utilizes software capable of scanning thousands of transactions in real-time. This technological shift allows Auditors to detect anomalies that traditional sampling methods might miss. In the context of Qatar Doha’s rapid digitization, this technological proficiency is no longer optional; it is a fundamental requirement for the Auditor.</w:t>
      </w:r>
    </w:p>
    <w:bookmarkEnd w:id="24"/>
    <w:bookmarkEnd w:id="25"/>
    <w:bookmarkStart w:id="26" w:name="observations-and-data-analysis"/>
    <w:p>
      <w:pPr>
        <w:pStyle w:val="Heading2"/>
      </w:pPr>
      <w:r>
        <w:t xml:space="preserve">5.0 Observations and Data Analysis</w:t>
      </w:r>
    </w:p>
    <w:p>
      <w:pPr>
        <w:pStyle w:val="FirstParagraph"/>
      </w:pPr>
      <w:r>
        <w:t xml:space="preserve">Our examination revealed three key trends regarding Auditor performance in Qatar Doha:</w:t>
      </w:r>
    </w:p>
    <w:p>
      <w:pPr>
        <w:pStyle w:val="BodyText"/>
      </w:pPr>
      <w:r>
        <w:rPr>
          <w:bCs/>
          <w:b/>
        </w:rPr>
        <w:t xml:space="preserve">Audit Phase</w:t>
      </w:r>
    </w:p>
    <w:p>
      <w:pPr>
        <w:pStyle w:val="BodyText"/>
      </w:pPr>
      <w:r>
        <w:rPr>
          <w:bCs/>
          <w:b/>
        </w:rPr>
        <w:t xml:space="preserve">Action Taken by Auditor</w:t>
      </w:r>
    </w:p>
    <w:p>
      <w:pPr>
        <w:pStyle w:val="BodyText"/>
      </w:pPr>
      <w:r>
        <w:rPr>
          <w:bCs/>
          <w:b/>
        </w:rPr>
        <w:t xml:space="preserve">Relevance to Qatar Doha Context</w:t>
      </w:r>
    </w:p>
    <w:p>
      <w:pPr>
        <w:pStyle w:val="BodyText"/>
      </w:pPr>
      <w:r>
        <w:t xml:space="preserve">td style="background-color: #fff;"&gt;Risk Assessment</w:t>
      </w:r>
    </w:p>
    <w:p>
      <w:pPr>
        <w:pStyle w:val="BodyText"/>
      </w:pPr>
      <w:r>
        <w:t xml:space="preserve">Identification of high-risk sectors including real estate and construction.</w:t>
      </w:r>
    </w:p>
    <w:p>
      <w:pPr>
        <w:pStyle w:val="BodyText"/>
      </w:pPr>
      <w:r>
        <w:t xml:space="preserve">td style="background-color: #fff;"Qatar Doha is experiencing a post-World Cup infrastructure boom, requiring heightened scrutiny on capital expenditures.</w:t>
      </w:r>
    </w:p>
    <w:p>
      <w:pPr>
        <w:pStyle w:val="BodyText"/>
      </w:pPr>
      <w:r>
        <w:t xml:space="preserve">td style="background-color: #fff;"&gt;Testing Controls</w:t>
      </w:r>
    </w:p>
    <w:p>
      <w:pPr>
        <w:pStyle w:val="BodyText"/>
      </w:pPr>
      <w:r>
        <w:t xml:space="preserve">Evaluation of internal approval hierarchies and segregation of duties.</w:t>
      </w:r>
    </w:p>
    <w:p>
      <w:pPr>
        <w:pStyle w:val="BodyText"/>
      </w:pPr>
      <w:r>
        <w:t xml:space="preserve">td style="background-color: #fff;"&gt;Reporting</w:t>
      </w:r>
    </w:p>
    <w:p>
      <w:pPr>
        <w:pStyle w:val="BodyText"/>
      </w:pPr>
      <w:r>
        <w:t xml:space="preserve">Drafting of findings in accordance with IFRS and local GAAP.</w:t>
      </w:r>
    </w:p>
    <w:bookmarkEnd w:id="26"/>
    <w:bookmarkStart w:id="27" w:name="challenges-identified"/>
    <w:p>
      <w:pPr>
        <w:pStyle w:val="Heading2"/>
      </w:pPr>
      <w:r>
        <w:t xml:space="preserve">6.0 Challenges Identified</w:t>
      </w:r>
    </w:p>
    <w:p>
      <w:pPr>
        <w:pStyle w:val="FirstParagraph"/>
      </w:pPr>
      <w:r>
        <w:t xml:space="preserve">The laboratory report identifies several friction points for the Auditor in Qatar Doha:</w:t>
      </w:r>
    </w:p>
    <w:p>
      <w:pPr>
        <w:numPr>
          <w:ilvl w:val="0"/>
          <w:numId w:val="1002"/>
        </w:numPr>
        <w:pStyle w:val="Compact"/>
      </w:pPr>
      <w:r>
        <w:rPr>
          <w:bCs/>
          <w:b/>
        </w:rPr>
        <w:t xml:space="preserve">Cultural Nuances:</w:t>
      </w:r>
      <w:r>
        <w:t xml:space="preserve">Auditors must navigate a business culture that places high value on relationships (Wasta). Maintaining professional skepticism while respecting local customs is a delicate balance for the Auditor.</w:t>
      </w:r>
    </w:p>
    <w:p>
      <w:pPr>
        <w:numPr>
          <w:ilvl w:val="0"/>
          <w:numId w:val="1002"/>
        </w:numPr>
        <w:pStyle w:val="Compact"/>
      </w:pPr>
      <w:r>
        <w:rPr>
          <w:bCs/>
          <w:b/>
        </w:rPr>
        <w:t xml:space="preserve">Rapid Legislative Changes:</w:t>
      </w:r>
      <w:r>
        <w:t xml:space="preserve">The regulatory environment in Qatar Doha is evolving quickly to meet Vision 2030 goals. Auditors often face a lag time between the implementation of new laws and their incorporation into standard audit checklists.</w:t>
      </w:r>
    </w:p>
    <w:p>
      <w:pPr>
        <w:numPr>
          <w:ilvl w:val="0"/>
          <w:numId w:val="1002"/>
        </w:numPr>
        <w:pStyle w:val="Compact"/>
      </w:pPr>
      <w:r>
        <w:rPr>
          <w:bCs/>
          <w:b/>
        </w:rPr>
        <w:t xml:space="preserve">Talent Scarcity:</w:t>
      </w:r>
      <w:r>
        <w:t xml:space="preserve">While many international firms operate in Qatar Doha, there is a shortage of local Auditors who possess both deep technical expertise and contextual knowledge of the local market.</w:t>
      </w:r>
    </w:p>
    <w:bookmarkEnd w:id="27"/>
    <w:bookmarkStart w:id="28" w:name="recommendations"/>
    <w:p>
      <w:pPr>
        <w:pStyle w:val="Heading2"/>
      </w:pPr>
      <w:r>
        <w:t xml:space="preserve">7.0 Recommendations</w:t>
      </w:r>
    </w:p>
    <w:p>
      <w:pPr>
        <w:pStyle w:val="FirstParagraph"/>
      </w:pPr>
      <w:r>
        <w:t xml:space="preserve">To enhance the efficacy of the Auditor within the framework of Qatar Doha, this laboratory report recommends:</w:t>
      </w:r>
    </w:p>
    <w:p>
      <w:pPr>
        <w:numPr>
          <w:ilvl w:val="0"/>
          <w:numId w:val="1003"/>
        </w:numPr>
        <w:pStyle w:val="Compact"/>
      </w:pPr>
      <w:r>
        <w:rPr>
          <w:bCs/>
          <w:b/>
        </w:rPr>
        <w:t xml:space="preserve">Mandatory Local Certification:</w:t>
      </w:r>
      <w:r>
        <w:t xml:space="preserve">Auditors working in Qatar Doha should undergo specific certification programs focused on Qatari commercial law and cultural ethics.</w:t>
      </w:r>
    </w:p>
    <w:p>
      <w:pPr>
        <w:numPr>
          <w:ilvl w:val="0"/>
          <w:numId w:val="1003"/>
        </w:numPr>
        <w:pStyle w:val="Compact"/>
      </w:pPr>
      <w:r>
        <w:rPr>
          <w:bCs/>
          <w:b/>
        </w:rPr>
        <w:t xml:space="preserve">Digital Auditing Labs:</w:t>
      </w:r>
      <w:r>
        <w:t xml:space="preserve">Firms should establish dedicated "Digital Audit Laboratories" within their Doha offices to focus exclusively on data forensics and cyber-compliance.</w:t>
      </w:r>
    </w:p>
    <w:p>
      <w:pPr>
        <w:numPr>
          <w:ilvl w:val="0"/>
          <w:numId w:val="1003"/>
        </w:numPr>
        <w:pStyle w:val="Compact"/>
      </w:pPr>
      <w:r>
        <w:rPr>
          <w:bCs/>
          <w:b/>
        </w:rPr>
        <w:t xml:space="preserve">Bilingual Documentation Standards:</w:t>
      </w:r>
      <w:r>
        <w:t xml:space="preserve">To prevent ambiguity, all Auditor reports submitted to Qatari authorities should be rigorously reviewed for linguistic accuracy in both English and Arabic.</w:t>
      </w:r>
    </w:p>
    <w:bookmarkEnd w:id="28"/>
    <w:bookmarkStart w:id="29" w:name="conclusion"/>
    <w:p>
      <w:pPr>
        <w:pStyle w:val="Heading2"/>
      </w:pPr>
      <w:r>
        <w:t xml:space="preserve">8.0 Conclusion</w:t>
      </w:r>
    </w:p>
    <w:p>
      <w:pPr>
        <w:pStyle w:val="FirstParagraph"/>
      </w:pPr>
      <w:r>
        <w:t xml:space="preserve">In conclusion, this laboratory report confirms that the Auditor is a critical component of economic stability in Qatar Doha. The unique characteristics of Qatar Doha’s market demand an auditing profession that is agile, technologically advanced, and culturally competent. As the region continues to grow, the role of the Auditor will expand from simple verification to strategic advisory services.</w:t>
      </w:r>
    </w:p>
    <w:p>
      <w:pPr>
        <w:pStyle w:val="BodyText"/>
      </w:pPr>
      <w:r>
        <w:t xml:space="preserve">The integrity of financial markets in Qatar Doha relies heavily on the precision and ethics of those who audit them. Therefore, investment in auditor training, technological infrastructure, and regulatory alignment is not merely a compliance issue but a strategic imperative for sustainable economic growth in Qatar Doha. Future research should focus on longitudinal studies comparing auditor performance before and after major legislative updates in the region.</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Operations in Qatar Doha</dc:title>
  <dc:creator/>
  <dc:language>en</dc:language>
  <cp:keywords/>
  <dcterms:created xsi:type="dcterms:W3CDTF">2026-07-29T06:25:17Z</dcterms:created>
  <dcterms:modified xsi:type="dcterms:W3CDTF">2026-07-29T06:25:17Z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