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b4cbb3f008b7523d176c1e934c545b5c844b97e"/>
    <w:p>
      <w:pPr>
        <w:pStyle w:val="Heading1"/>
      </w:pPr>
      <w:r>
        <w:t xml:space="preserve">Laboratory Report on Auditor Competency and Regulatory Frameworks</w:t>
      </w:r>
    </w:p>
    <w:bookmarkStart w:id="20" w:name="Xa89a9d3b70d7f63f7503a3ee2a908c5825b46aa"/>
    <w:p>
      <w:pPr>
        <w:pStyle w:val="Heading2"/>
      </w:pPr>
      <w:r>
        <w:rPr>
          <w:bCs/>
          <w:b/>
        </w:rPr>
        <w:t xml:space="preserve">Auditor</w:t>
      </w:r>
      <w:r>
        <w:t xml:space="preserve"> </w:t>
      </w:r>
      <w:r>
        <w:t xml:space="preserve">Analysis within the Context of</w:t>
      </w:r>
      <w:r>
        <w:t xml:space="preserve"> </w:t>
      </w:r>
      <w:r>
        <w:rPr>
          <w:bCs/>
          <w:b/>
        </w:rPr>
        <w:t xml:space="preserve">Russia Saint Petersburg</w:t>
      </w:r>
    </w:p>
    <w:p>
      <w:pPr>
        <w:pStyle w:val="FirstParagraph"/>
      </w:pPr>
      <w:r>
        <w:rPr>
          <w:iCs/>
          <w:i/>
        </w:rPr>
        <w:t xml:space="preserve">Date: October 26, 2023 | Reference No.: SPB-AUD-2023-X99</w:t>
      </w:r>
    </w:p>
    <w:bookmarkEnd w:id="20"/>
    <w:bookmarkEnd w:id="21"/>
    <w:bookmarkStart w:id="22" w:name="executive-summary"/>
    <w:p>
      <w:pPr>
        <w:pStyle w:val="Heading3"/>
      </w:pPr>
      <w:r>
        <w:t xml:space="preserve">1. Executive Summary</w:t>
      </w:r>
    </w:p>
    <w:p>
      <w:pPr>
        <w:pStyle w:val="FirstParagraph"/>
      </w:pPr>
      <w:r>
        <w:t xml:space="preserve">This laboratory report provides a comprehensive analysis of the professional role, regulatory obligations, and operational challenges faced by an</w:t>
      </w:r>
      <w:r>
        <w:t xml:space="preserve"> </w:t>
      </w:r>
      <w:r>
        <w:rPr>
          <w:bCs/>
          <w:b/>
        </w:rPr>
        <w:t xml:space="preserve">Auditor</w:t>
      </w:r>
      <w:r>
        <w:t xml:space="preserve">. The primary focus of this study is the specific jurisdictional context of Russia, with a detailed examination of the unique economic and legal environment in Saint Petersburg. As global compliance standards evolve rapidly, understanding how an independent</w:t>
      </w:r>
      <w:r>
        <w:t xml:space="preserve"> </w:t>
      </w:r>
      <w:r>
        <w:rPr>
          <w:bCs/>
          <w:b/>
        </w:rPr>
        <w:t xml:space="preserve">Auditor</w:t>
      </w:r>
      <w:r>
        <w:t xml:space="preserve"> </w:t>
      </w:r>
      <w:r>
        <w:t xml:space="preserve">navigates the dual pressures of international accounting principles and local Russian legislation is critical. This report concludes that while</w:t>
      </w:r>
      <w:r>
        <w:t xml:space="preserve"> </w:t>
      </w:r>
      <w:r>
        <w:rPr>
          <w:bCs/>
          <w:b/>
        </w:rPr>
        <w:t xml:space="preserve">Russia Saint Petersburg</w:t>
      </w:r>
      <w:r>
        <w:t xml:space="preserve"> </w:t>
      </w:r>
      <w:r>
        <w:t xml:space="preserve">offers a robust hub for international business, it presents distinct complexities for auditors regarding tax implications, anti-corruption protocols, and the integration of Federal Law No. 402-FZ.</w:t>
      </w:r>
    </w:p>
    <w:bookmarkEnd w:id="22"/>
    <w:bookmarkStart w:id="23" w:name="introduction"/>
    <w:p>
      <w:pPr>
        <w:pStyle w:val="Heading3"/>
      </w:pPr>
      <w:r>
        <w:t xml:space="preserve">2. Introduction</w:t>
      </w:r>
    </w:p>
    <w:p>
      <w:pPr>
        <w:pStyle w:val="FirstParagraph"/>
      </w:pPr>
      <w:r>
        <w:t xml:space="preserve">The role of an</w:t>
      </w:r>
      <w:r>
        <w:t xml:space="preserve"> </w:t>
      </w:r>
      <w:r>
        <w:rPr>
          <w:bCs/>
          <w:b/>
        </w:rPr>
        <w:t xml:space="preserve">Auditor</w:t>
      </w:r>
      <w:r>
        <w:t xml:space="preserve"> </w:t>
      </w:r>
      <w:r>
        <w:t xml:space="preserve">extends beyond mere financial verification; it is a cornerstone of corporate governance, investor confidence, and economic stability. In the context of the Russian Federation, this role is governed by strict statutory requirements. However, the geographical location plays a significant part in how these regulations are interpreted and applied. Saint Petersburg, often referred to as the "Cultural Capital" of Russia and its second-largest city, serves as a critical gateway for European trade and investment. Consequently, an</w:t>
      </w:r>
      <w:r>
        <w:t xml:space="preserve"> </w:t>
      </w:r>
      <w:r>
        <w:rPr>
          <w:bCs/>
          <w:b/>
        </w:rPr>
        <w:t xml:space="preserve">Auditor</w:t>
      </w:r>
      <w:r>
        <w:t xml:space="preserve"> </w:t>
      </w:r>
      <w:r>
        <w:t xml:space="preserve">operating in this region must possess specialized knowledge regarding the specific economic dynamics of</w:t>
      </w:r>
      <w:r>
        <w:t xml:space="preserve"> </w:t>
      </w:r>
      <w:r>
        <w:rPr>
          <w:bCs/>
          <w:b/>
        </w:rPr>
        <w:t xml:space="preserve">Russia Saint Petersburg</w:t>
      </w:r>
      <w:r>
        <w:t xml:space="preserve">.</w:t>
      </w:r>
    </w:p>
    <w:p>
      <w:pPr>
        <w:pStyle w:val="BodyText"/>
      </w:pPr>
      <w:r>
        <w:t xml:space="preserve">This lab report aims to deconstruct the workflow of an auditor specializing in cross-border entities based in Saint Petersburg. It explores how local nuances influence audit procedures, risk assessment, and reporting mechanisms. The hypothesis tested herein is that auditors in Saint Petersburg face higher compliance risks due to the complex interplay between federal Russian laws and local municipal regulations.</w:t>
      </w:r>
    </w:p>
    <w:bookmarkEnd w:id="23"/>
    <w:bookmarkStart w:id="24" w:name="methodology"/>
    <w:p>
      <w:pPr>
        <w:pStyle w:val="Heading3"/>
      </w:pPr>
      <w:r>
        <w:t xml:space="preserve">3. Methodology</w:t>
      </w:r>
    </w:p>
    <w:p>
      <w:pPr>
        <w:pStyle w:val="FirstParagraph"/>
      </w:pPr>
      <w:r>
        <w:t xml:space="preserve">The analysis utilizes a qualitative research method, reviewing current legal frameworks applicable in</w:t>
      </w:r>
      <w:r>
        <w:t xml:space="preserve"> </w:t>
      </w:r>
      <w:r>
        <w:rPr>
          <w:bCs/>
          <w:b/>
        </w:rPr>
        <w:t xml:space="preserve">Russia Saint Petersburg</w:t>
      </w:r>
      <w:r>
        <w:t xml:space="preserve">. Key data sources include the Federal Law "On Auditing Activities" (No. 119-FZ), the Law on Accounting (No. 402-FZ), and guidelines from the Russian Union of Accountants. Furthermore, case studies of multinational corporations headquartered in</w:t>
      </w:r>
      <w:r>
        <w:t xml:space="preserve"> </w:t>
      </w:r>
      <w:r>
        <w:rPr>
          <w:bCs/>
          <w:b/>
        </w:rPr>
        <w:t xml:space="preserve">Russia Saint Petersburg</w:t>
      </w:r>
      <w:r>
        <w:t xml:space="preserve"> </w:t>
      </w:r>
      <w:r>
        <w:t xml:space="preserve">were analyzed to understand practical auditor challenges.</w:t>
      </w:r>
    </w:p>
    <w:bookmarkEnd w:id="24"/>
    <w:bookmarkStart w:id="27" w:name="Xc27831f43d06a42ede979d440d0dd646dacb30f"/>
    <w:p>
      <w:pPr>
        <w:pStyle w:val="Heading3"/>
      </w:pPr>
      <w:r>
        <w:t xml:space="preserve">4. Regulatory Framework for Auditors in Russia Saint Petersburg</w:t>
      </w:r>
    </w:p>
    <w:p>
      <w:pPr>
        <w:pStyle w:val="FirstParagraph"/>
      </w:pPr>
      <w:r>
        <w:t xml:space="preserve">The primary duty of an</w:t>
      </w:r>
      <w:r>
        <w:t xml:space="preserve"> </w:t>
      </w:r>
      <w:r>
        <w:rPr>
          <w:bCs/>
          <w:b/>
        </w:rPr>
        <w:t xml:space="preserve">Auditor</w:t>
      </w:r>
      <w:r>
        <w:t xml:space="preserve"> </w:t>
      </w:r>
      <w:r>
        <w:t xml:space="preserve">in this jurisdiction is adherence to the Federal Law on Auditing Activities. Unlike some other jurisdictions, Russia mandates mandatory audits for specific categories of entities, including credit organizations, joint-stock companies, and those with significant state participation. For an</w:t>
      </w:r>
      <w:r>
        <w:t xml:space="preserve"> </w:t>
      </w:r>
      <w:r>
        <w:rPr>
          <w:bCs/>
          <w:b/>
        </w:rPr>
        <w:t xml:space="preserve">Auditor</w:t>
      </w:r>
      <w:r>
        <w:t xml:space="preserve"> </w:t>
      </w:r>
      <w:r>
        <w:t xml:space="preserve">working in</w:t>
      </w:r>
      <w:r>
        <w:t xml:space="preserve"> </w:t>
      </w:r>
      <w:r>
        <w:rPr>
          <w:bCs/>
          <w:b/>
        </w:rPr>
        <w:t xml:space="preserve">Russia Saint Petersburg</w:t>
      </w:r>
      <w:r>
        <w:t xml:space="preserve">, understanding these thresholds is paramount.</w:t>
      </w:r>
    </w:p>
    <w:bookmarkStart w:id="25" w:name="X315545f253c2eb8c1196e610462d1d1defb35be"/>
    <w:p>
      <w:pPr>
        <w:pStyle w:val="Heading4"/>
      </w:pPr>
      <w:r>
        <w:t xml:space="preserve">4.1 International Financial Reporting Standards (IFRS) vs. Russian Accounting Standards (RAS)</w:t>
      </w:r>
    </w:p>
    <w:p>
      <w:pPr>
        <w:pStyle w:val="FirstParagraph"/>
      </w:pPr>
      <w:r>
        <w:t xml:space="preserve">A significant challenge for any</w:t>
      </w:r>
      <w:r>
        <w:t xml:space="preserve"> </w:t>
      </w:r>
      <w:r>
        <w:rPr>
          <w:bCs/>
          <w:b/>
        </w:rPr>
        <w:t xml:space="preserve">Auditor</w:t>
      </w:r>
      <w:r>
        <w:t xml:space="preserve"> </w:t>
      </w:r>
      <w:r>
        <w:t xml:space="preserve">operating in the region is the reconciliation between RAS and IFRS. While Saint Petersburg hosts many international subsidiaries, they are required to maintain separate books for tax reporting under RAS and financial reporting under IFRS. The auditor must perform a dual verification process, ensuring that discrepancies between local tax laws and international standards are accurately disclosed. This complexity is exacerbated by frequent amendments to the Russian Tax Code.</w:t>
      </w:r>
    </w:p>
    <w:bookmarkEnd w:id="25"/>
    <w:bookmarkStart w:id="26" w:name="anti-money-laundering-aml-compliance"/>
    <w:p>
      <w:pPr>
        <w:pStyle w:val="Heading4"/>
      </w:pPr>
      <w:r>
        <w:t xml:space="preserve">4.2 Anti-Money Laundering (AML) Compliance</w:t>
      </w:r>
    </w:p>
    <w:p>
      <w:pPr>
        <w:pStyle w:val="FirstParagraph"/>
      </w:pPr>
      <w:r>
        <w:t xml:space="preserve">In recent years, scrutiny regarding AML has intensified for auditors globally. In</w:t>
      </w:r>
      <w:r>
        <w:t xml:space="preserve"> </w:t>
      </w:r>
      <w:r>
        <w:rPr>
          <w:bCs/>
          <w:b/>
        </w:rPr>
        <w:t xml:space="preserve">Russia Saint Petersburg</w:t>
      </w:r>
      <w:r>
        <w:t xml:space="preserve">, auditors must be vigilant in identifying suspicious transactions that may violate Federal Law No. 115-FZ. The geographic proximity to Europe and the high volume of foreign direct investment in the city increase the risk profile, requiring auditors to implement enhanced due diligence procedures.</w:t>
      </w:r>
    </w:p>
    <w:bookmarkEnd w:id="26"/>
    <w:bookmarkEnd w:id="27"/>
    <w:bookmarkStart w:id="30" w:name="operational-challenges-for-auditors"/>
    <w:p>
      <w:pPr>
        <w:pStyle w:val="Heading3"/>
      </w:pPr>
      <w:r>
        <w:t xml:space="preserve">5. Operational Challenges for Auditors</w:t>
      </w:r>
    </w:p>
    <w:p>
      <w:pPr>
        <w:pStyle w:val="FirstParagraph"/>
      </w:pPr>
      <w:r>
        <w:t xml:space="preserve">The practical execution of an audit by an independent auditor in this region is fraught with logistical and ethical challenges.</w:t>
      </w:r>
    </w:p>
    <w:bookmarkStart w:id="28" w:name="language-and-cultural-barriers"/>
    <w:p>
      <w:pPr>
        <w:pStyle w:val="Heading4"/>
      </w:pPr>
      <w:r>
        <w:t xml:space="preserve">5.1 Language and Cultural Barriers</w:t>
      </w:r>
    </w:p>
    <w:p>
      <w:pPr>
        <w:pStyle w:val="FirstParagraph"/>
      </w:pPr>
      <w:r>
        <w:t xml:space="preserve">An auditor must be proficient in Russian legal terminology to accurately interpret contracts, minutes, and financial records. Misinterpretation of local contractual norms can lead to significant audit qualifications. Furthermore, the business culture in Saint Petersburg may differ from Western standards regarding documentation transparency. An</w:t>
      </w:r>
      <w:r>
        <w:t xml:space="preserve"> </w:t>
      </w:r>
      <w:r>
        <w:rPr>
          <w:bCs/>
          <w:b/>
        </w:rPr>
        <w:t xml:space="preserve">Auditor</w:t>
      </w:r>
      <w:r>
        <w:t xml:space="preserve"> </w:t>
      </w:r>
      <w:r>
        <w:t xml:space="preserve">must navigate these cultural nuances professionally while maintaining strict objectivity.</w:t>
      </w:r>
    </w:p>
    <w:bookmarkEnd w:id="28"/>
    <w:bookmarkStart w:id="29" w:name="digitalization-and-cybersecurity"/>
    <w:p>
      <w:pPr>
        <w:pStyle w:val="Heading4"/>
      </w:pPr>
      <w:r>
        <w:t xml:space="preserve">5.2 Digitalization and Cybersecurity</w:t>
      </w:r>
    </w:p>
    <w:p>
      <w:pPr>
        <w:pStyle w:val="FirstParagraph"/>
      </w:pPr>
      <w:r>
        <w:t xml:space="preserve">Russia has been aggressively pursuing digital transformation in its public and private sectors, including the implementation of online cash registers (KKT). For an auditor, this means that audit trails are increasingly digital. Ensuring the integrity of electronic data in</w:t>
      </w:r>
      <w:r>
        <w:t xml:space="preserve"> </w:t>
      </w:r>
      <w:r>
        <w:rPr>
          <w:bCs/>
          <w:b/>
        </w:rPr>
        <w:t xml:space="preserve">Russia Saint Petersburg</w:t>
      </w:r>
      <w:r>
        <w:t xml:space="preserve"> </w:t>
      </w:r>
      <w:r>
        <w:t xml:space="preserve">requires auditors to possess strong IT audit capabilities. The risk of cyber threats is a growing concern for entities in this tech-forward region.</w:t>
      </w:r>
    </w:p>
    <w:bookmarkEnd w:id="29"/>
    <w:bookmarkEnd w:id="30"/>
    <w:bookmarkStart w:id="31" w:name="Xf8ca03f54b38a3f4b837a402a112380038bc4cf"/>
    <w:p>
      <w:pPr>
        <w:pStyle w:val="Heading3"/>
      </w:pPr>
      <w:r>
        <w:t xml:space="preserve">6. Case Study Analysis: Impact of Geopolitics on Auditing</w:t>
      </w:r>
    </w:p>
    <w:p>
      <w:pPr>
        <w:pStyle w:val="FirstParagraph"/>
      </w:pPr>
      <w:r>
        <w:t xml:space="preserve">The geopolitical landscape significantly impacts the work of an auditor. Recent sanctions and economic shifts have altered the operational environment for businesses in</w:t>
      </w:r>
      <w:r>
        <w:t xml:space="preserve"> </w:t>
      </w:r>
      <w:r>
        <w:rPr>
          <w:bCs/>
          <w:b/>
        </w:rPr>
        <w:t xml:space="preserve">Russia Saint Petersburg</w:t>
      </w:r>
      <w:r>
        <w:t xml:space="preserve">. An auditor must now assess going-concern assumptions more rigorously. Supply chain disruptions affecting companies in Saint Petersburg require auditors to evaluate inventory valuations and receivable collectability with heightened skepticism.</w:t>
      </w:r>
    </w:p>
    <w:p>
      <w:pPr>
        <w:pStyle w:val="BodyText"/>
      </w:pPr>
      <w:r>
        <w:t xml:space="preserve">Additionally, the withdrawal of some international audit firms has created a vacuum, placing increased responsibility on domestic auditing bodies. This shift requires local auditors to adopt international best practices independently, without direct support from global networks.</w:t>
      </w:r>
    </w:p>
    <w:bookmarkEnd w:id="31"/>
    <w:bookmarkStart w:id="32" w:name="discussion"/>
    <w:p>
      <w:pPr>
        <w:pStyle w:val="Heading3"/>
      </w:pPr>
      <w:r>
        <w:t xml:space="preserve">7. Discussion</w:t>
      </w:r>
    </w:p>
    <w:p>
      <w:pPr>
        <w:pStyle w:val="FirstParagraph"/>
      </w:pPr>
      <w:r>
        <w:t xml:space="preserve">The findings indicate that the role of an auditor in this context is highly specialized. It is not sufficient for an individual to simply understand general accounting principles; they must be experts in the local regulatory landscape of</w:t>
      </w:r>
      <w:r>
        <w:t xml:space="preserve"> </w:t>
      </w:r>
      <w:r>
        <w:rPr>
          <w:bCs/>
          <w:b/>
        </w:rPr>
        <w:t xml:space="preserve">Russia Saint Petersburg</w:t>
      </w:r>
      <w:r>
        <w:t xml:space="preserve">. The integration of technology, combined with strict federal mandates, creates a high-pressure environment for professionals holding the title of Auditor.</w:t>
      </w:r>
    </w:p>
    <w:p>
      <w:pPr>
        <w:pStyle w:val="BodyText"/>
      </w:pPr>
      <w:r>
        <w:t xml:space="preserve">Moreover, the reputation risk associated with auditing in this region is substantial. Auditors are increasingly viewed as first-line defenders against corporate fraud and financial misstatement. In</w:t>
      </w:r>
      <w:r>
        <w:t xml:space="preserve"> </w:t>
      </w:r>
      <w:r>
        <w:rPr>
          <w:bCs/>
          <w:b/>
        </w:rPr>
        <w:t xml:space="preserve">Russia Saint Petersburg</w:t>
      </w:r>
      <w:r>
        <w:t xml:space="preserve">, where foreign investment is crucial for local economic growth, the credibility of audit reports directly influences investor sentiment.</w:t>
      </w:r>
    </w:p>
    <w:bookmarkEnd w:id="32"/>
    <w:bookmarkStart w:id="33" w:name="conclusion-and-recommendations"/>
    <w:p>
      <w:pPr>
        <w:pStyle w:val="Heading3"/>
      </w:pPr>
      <w:r>
        <w:t xml:space="preserve">8. Conclusion and Recommendations</w:t>
      </w:r>
    </w:p>
    <w:p>
      <w:pPr>
        <w:pStyle w:val="FirstParagraph"/>
      </w:pPr>
      <w:r>
        <w:t xml:space="preserve">In conclusion, the function of an auditor within the jurisdiction of Russia Saint Petersburg requires a multidisciplinary approach combining legal expertise, accounting proficiency, and cultural intelligence. The report confirms that auditors in this region face unique challenges related to dual-standard reporting, AML compliance, and geopolitical volatility.</w:t>
      </w:r>
    </w:p>
    <w:p>
      <w:pPr>
        <w:pStyle w:val="BodyText"/>
      </w:pPr>
      <w:r>
        <w:rPr>
          <w:bCs/>
          <w:b/>
        </w:rPr>
        <w:t xml:space="preserve">Recommendations for Auditors:</w:t>
      </w:r>
    </w:p>
    <w:p>
      <w:pPr>
        <w:numPr>
          <w:ilvl w:val="0"/>
          <w:numId w:val="1001"/>
        </w:numPr>
        <w:pStyle w:val="Compact"/>
      </w:pPr>
      <w:r>
        <w:rPr>
          <w:bCs/>
          <w:b/>
        </w:rPr>
        <w:t xml:space="preserve">Continuous Education:</w:t>
      </w:r>
      <w:r>
        <w:t xml:space="preserve"> </w:t>
      </w:r>
      <w:r>
        <w:t xml:space="preserve">Auditors must stay updated on changes in Federal Law No. 119-FZ and local Saint Petersburg municipal regulations.</w:t>
      </w:r>
    </w:p>
    <w:p>
      <w:pPr>
        <w:numPr>
          <w:ilvl w:val="0"/>
          <w:numId w:val="1001"/>
        </w:numPr>
        <w:pStyle w:val="Compact"/>
      </w:pPr>
      <w:r>
        <w:rPr>
          <w:bCs/>
          <w:b/>
        </w:rPr>
        <w:t xml:space="preserve">Digital Skills Acquisition:</w:t>
      </w:r>
    </w:p>
    <w:p>
      <w:pPr>
        <w:numPr>
          <w:ilvl w:val="0"/>
          <w:numId w:val="1001"/>
        </w:numPr>
        <w:pStyle w:val="Compact"/>
      </w:pPr>
      <w:r>
        <w:rPr>
          <w:bCs/>
          <w:b/>
        </w:rPr>
        <w:t xml:space="preserve">Risk-Based Approach:</w:t>
      </w:r>
      <w:r>
        <w:t xml:space="preserve">: Auditors should adopt a stricter risk-based methodology, particularly concerning related-party transactions and cross-border payments in</w:t>
      </w:r>
      <w:r>
        <w:t xml:space="preserve"> </w:t>
      </w:r>
      <w:r>
        <w:rPr>
          <w:bCs/>
          <w:b/>
        </w:rPr>
        <w:t xml:space="preserve">Russia Saint Petersburg</w:t>
      </w:r>
      <w:r>
        <w:t xml:space="preserve">.</w:t>
      </w:r>
    </w:p>
    <w:p>
      <w:pPr>
        <w:pStyle w:val="FirstParagraph"/>
      </w:pPr>
      <w:r>
        <w:t xml:space="preserve">This lab report underscores that the effectiveness of an auditor is directly linked to their ability to adapt to the specific legal and economic realities of their operational base.</w:t>
      </w:r>
    </w:p>
    <w:bookmarkEnd w:id="33"/>
    <w:bookmarkStart w:id="34" w:name="references"/>
    <w:p>
      <w:pPr>
        <w:pStyle w:val="Heading3"/>
      </w:pPr>
      <w:r>
        <w:t xml:space="preserve">9. References</w:t>
      </w:r>
    </w:p>
    <w:p>
      <w:pPr>
        <w:numPr>
          <w:ilvl w:val="0"/>
          <w:numId w:val="1002"/>
        </w:numPr>
        <w:pStyle w:val="Compact"/>
      </w:pPr>
      <w:r>
        <w:t xml:space="preserve">Federal Law of the Russian Federation "On Accounting" (No. 402-FZ).</w:t>
      </w:r>
    </w:p>
    <w:p>
      <w:pPr>
        <w:numPr>
          <w:ilvl w:val="0"/>
          <w:numId w:val="1002"/>
        </w:numPr>
        <w:pStyle w:val="Compact"/>
      </w:pPr>
      <w:r>
        <w:t xml:space="preserve">Federal Law of the Russian Federation "On Auditing Activities" (No. 119-FZ).</w:t>
      </w:r>
    </w:p>
    <w:p>
      <w:pPr>
        <w:numPr>
          <w:ilvl w:val="0"/>
          <w:numId w:val="1002"/>
        </w:numPr>
        <w:pStyle w:val="Compact"/>
      </w:pPr>
      <w:r>
        <w:t xml:space="preserve">Russian Union of Accountants. Guidelines on International Standards for Quality Control.</w:t>
      </w:r>
    </w:p>
    <w:p>
      <w:pPr>
        <w:numPr>
          <w:ilvl w:val="0"/>
          <w:numId w:val="1002"/>
        </w:numPr>
        <w:pStyle w:val="Compact"/>
      </w:pPr>
      <w:r>
        <w:t xml:space="preserve">Central Bank of Russia Regulatory Framework for Audit and Assurance Services.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Russia Saint Petersburg</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