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Performance</w:t>
      </w:r>
      <w:r>
        <w:t xml:space="preserve"> </w:t>
      </w:r>
      <w:r>
        <w:t xml:space="preserve">Evaluation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08851e60f472a874d40574cc23ff2d5876ffe01"/>
    <w:p>
      <w:pPr>
        <w:pStyle w:val="Heading1"/>
      </w:pPr>
      <w:r>
        <w:t xml:space="preserve">Laboratory Report: Auditor Competency and Regulatory Compliance in the South Africa Cape Town Jurisdiction</w:t>
      </w:r>
    </w:p>
    <w:p>
      <w:pPr>
        <w:pStyle w:val="FirstParagraph"/>
      </w:pPr>
      <w:r>
        <w:rPr>
          <w:bCs/>
          <w:b/>
        </w:rPr>
        <w:t xml:space="preserve">Date:</w:t>
      </w:r>
      <w:r>
        <w:t xml:space="preserve">October 26, 2023</w:t>
      </w:r>
      <w:r>
        <w:t xml:space="preserve"> </w:t>
      </w:r>
      <w:r>
        <w:rPr>
          <w:bCs/>
          <w:b/>
        </w:rPr>
        <w:t xml:space="preserve">Report ID:</w:t>
      </w:r>
      <w:r>
        <w:t xml:space="preserve">SA-CT-LAB-2023-AUD</w:t>
      </w:r>
      <w:r>
        <w:t xml:space="preserve"> </w:t>
      </w:r>
      <w:r>
        <w:rPr>
          <w:bCs/>
          <w:b/>
        </w:rPr>
        <w:t xml:space="preserve">Location:</w:t>
      </w:r>
      <w:r>
        <w:br/>
      </w:r>
      <w:r>
        <w:t xml:space="preserve">Cape Town, South Africa</w:t>
      </w:r>
      <w:r>
        <w:br/>
      </w:r>
      <w:r>
        <w:t xml:space="preserve">(Western Cape Regional Office)</w:t>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laboratory report serves as a comprehensive analytical review of the operational standards, technical proficiency, and regulatory adherence required for an Auditor operating within the specific socio-economic and legislative landscape of South Africa Cape Town. The objective of this report is to establish a rigorous framework for evaluating auditor performance, ensuring that all financial examinations align with international best practices while strictly adhering to local statutory obligations. In a city characterized by rapid economic growth alongside stark socio-economic disparities, the role of the Auditor transcends mere number-crunching; it represents a critical pillar of corporate governance and public trust.</w:t>
      </w:r>
    </w:p>
    <w:p>
      <w:pPr>
        <w:pStyle w:val="BodyText"/>
      </w:pPr>
      <w:r>
        <w:t xml:space="preserve">The findings presented herein highlight that auditors must possess not only deep technical knowledge but also an acute awareness of the unique compliance environments dictated by South African law. The report details mandatory testing procedures, regulatory dependencies, and ethical considerations necessary for maintaining integrity in financial reporting within this region.</w:t>
      </w:r>
    </w:p>
    <w:bookmarkEnd w:id="21"/>
    <w:bookmarkStart w:id="22" w:name="background-and-context"/>
    <w:p>
      <w:pPr>
        <w:pStyle w:val="Heading2"/>
      </w:pPr>
      <w:r>
        <w:t xml:space="preserve">2. Background and Contextual Environment</w:t>
      </w:r>
    </w:p>
    <w:p>
      <w:pPr>
        <w:pStyle w:val="FirstParagraph"/>
      </w:pPr>
      <w:r>
        <w:t xml:space="preserve">The jurisdiction of</w:t>
      </w:r>
      <w:r>
        <w:t xml:space="preserve"> </w:t>
      </w:r>
      <w:r>
        <w:rPr>
          <w:bCs/>
          <w:b/>
        </w:rPr>
        <w:t xml:space="preserve">South Africa Cape Town</w:t>
      </w:r>
      <w:r>
        <w:t xml:space="preserve"> </w:t>
      </w:r>
      <w:r>
        <w:t xml:space="preserve">presents a complex matrix of business activities ranging from global maritime logistics to vibrant tourism sectors, alongside significant public sector responsibilities. As the legislative capital and a major commercial hub, the city demands an exceptionally high standard of accountability from financial professionals.</w:t>
      </w:r>
    </w:p>
    <w:p>
      <w:pPr>
        <w:pStyle w:val="BodyText"/>
      </w:pPr>
      <w:r>
        <w:t xml:space="preserve">An Auditor in this region operates under intense scrutiny. The economic environment is influenced by both local municipal governance structures and multinational corporate entities requiring global-standard auditing. Therefore, understanding the dual-layered regulatory framework—comprising international standards and strict national legislation—is paramount for any auditor practicing in Cape Town.</w:t>
      </w:r>
    </w:p>
    <w:bookmarkEnd w:id="22"/>
    <w:bookmarkStart w:id="23" w:name="methodology"/>
    <w:p>
      <w:pPr>
        <w:pStyle w:val="Heading2"/>
      </w:pPr>
      <w:r>
        <w:t xml:space="preserve">3. Methodology and Testing Procedures</w:t>
      </w:r>
    </w:p>
    <w:p>
      <w:pPr>
        <w:pStyle w:val="FirstParagraph"/>
      </w:pPr>
      <w:r>
        <w:t xml:space="preserve">To evaluate the efficacy of an</w:t>
      </w:r>
      <w:r>
        <w:t xml:space="preserve"> </w:t>
      </w:r>
      <w:r>
        <w:rPr>
          <w:bCs/>
          <w:b/>
        </w:rPr>
        <w:t xml:space="preserve">Auditor</w:t>
      </w:r>
      <w:r>
        <w:t xml:space="preserve">, a multi-faceted testing methodology was employed. This laboratory report outlines the specific protocols used to assess competency across three key dimensions:</w:t>
      </w:r>
    </w:p>
    <w:p>
      <w:pPr>
        <w:numPr>
          <w:ilvl w:val="0"/>
          <w:numId w:val="1001"/>
        </w:numPr>
        <w:pStyle w:val="Compact"/>
      </w:pPr>
      <w:r>
        <w:rPr>
          <w:bCs/>
          <w:b/>
        </w:rPr>
        <w:t xml:space="preserve">Literature Review and Regulatory Mapping:</w:t>
      </w:r>
      <w:r>
        <w:t xml:space="preserve"> </w:t>
      </w:r>
      <w:r>
        <w:t xml:space="preserve">Comprehensive analysis of the Companies Act 71 of 2008, which is foundational for auditing in South Africa. The report assesses how well an auditor understands the King IV Report on Corporate Governance, a globally influential code that is specifically adopted by most entities in Cape Town.</w:t>
      </w:r>
    </w:p>
    <w:p>
      <w:pPr>
        <w:numPr>
          <w:ilvl w:val="0"/>
          <w:numId w:val="1001"/>
        </w:numPr>
        <w:pStyle w:val="Compact"/>
      </w:pPr>
      <w:r>
        <w:rPr>
          <w:bCs/>
          <w:b/>
        </w:rPr>
        <w:t xml:space="preserve">Technical Proficiency Simulation:</w:t>
      </w:r>
      <w:r>
        <w:t xml:space="preserve"> </w:t>
      </w:r>
      <w:r>
        <w:t xml:space="preserve">Practical testing of software utilization and forensic accounting techniques. Auditors were tasked with identifying irregularities in simulated datasets provided by local corporate environments.</w:t>
      </w:r>
    </w:p>
    <w:p>
      <w:pPr>
        <w:numPr>
          <w:ilvl w:val="0"/>
          <w:numId w:val="1001"/>
        </w:numPr>
        <w:pStyle w:val="Compact"/>
      </w:pPr>
      <w:r>
        <w:rPr>
          <w:bCs/>
          <w:b/>
        </w:rPr>
        <w:t xml:space="preserve">Ethical Scenario Analysis:</w:t>
      </w:r>
      <w:r>
        <w:t xml:space="preserve">A series of case studies designed to test the auditor's moral compass, focusing on bribery risks (aligned with the Prevention and Combating of Corrupt Activities Act) and conflicts of interest common in public procurement projects within South Africa.</w:t>
      </w:r>
    </w:p>
    <w:bookmarkEnd w:id="23"/>
    <w:bookmarkStart w:id="24" w:name="regulatory-framework"/>
    <w:p>
      <w:pPr>
        <w:pStyle w:val="Heading2"/>
      </w:pPr>
      <w:r>
        <w:t xml:space="preserve">4. Regulatory Framework Compliance</w:t>
      </w:r>
    </w:p>
    <w:p>
      <w:pPr>
        <w:pStyle w:val="FirstParagraph"/>
      </w:pPr>
      <w:r>
        <w:t xml:space="preserve">The core requirement for any</w:t>
      </w:r>
      <w:r>
        <w:t xml:space="preserve"> </w:t>
      </w:r>
      <w:r>
        <w:rPr>
          <w:bCs/>
          <w:b/>
        </w:rPr>
        <w:t xml:space="preserve">Auditor</w:t>
      </w:r>
      <w:r>
        <w:t xml:space="preserve"> </w:t>
      </w:r>
      <w:r>
        <w:t xml:space="preserve">operating in</w:t>
      </w:r>
      <w:r>
        <w:t xml:space="preserve"> </w:t>
      </w:r>
      <w:r>
        <w:rPr>
          <w:bCs/>
          <w:b/>
        </w:rPr>
        <w:t xml:space="preserve">South Africa Cape Town</w:t>
      </w:r>
      <w:r>
        <w:br/>
      </w:r>
      <w:r>
        <w:t xml:space="preserve">is strict adherence to the Independent Regulatory Board for Auditors (IRBA). This laboratory report establishes that no audit opinion is legally valid unless the practitioner is registered with the IRBA. The testing procedures verified that auditors understand their obligations under:</w:t>
      </w:r>
    </w:p>
    <w:p>
      <w:pPr>
        <w:numPr>
          <w:ilvl w:val="0"/>
          <w:numId w:val="1002"/>
        </w:numPr>
        <w:pStyle w:val="Compact"/>
      </w:pPr>
      <w:r>
        <w:rPr>
          <w:bCs/>
          <w:b/>
        </w:rPr>
        <w:t xml:space="preserve">The Companies Act 71 of 2008:</w:t>
      </w:r>
      <w:r>
        <w:t xml:space="preserve"> </w:t>
      </w:r>
      <w:r>
        <w:t xml:space="preserve">Specifically Chapter 3 regarding financial statements and Section 95 regarding independent review committees.</w:t>
      </w:r>
    </w:p>
    <w:p>
      <w:pPr>
        <w:numPr>
          <w:ilvl w:val="0"/>
          <w:numId w:val="1002"/>
        </w:numPr>
        <w:pStyle w:val="Compact"/>
      </w:pPr>
      <w:r>
        <w:rPr>
          <w:bCs/>
          <w:b/>
        </w:rPr>
        <w:t xml:space="preserve">The Public Audit Act:</w:t>
      </w:r>
      <w:r>
        <w:t xml:space="preserve"> </w:t>
      </w:r>
      <w:r>
        <w:t xml:space="preserve">Crucial for auditors working with municipal governments in the Cape Town metropolitan area, ensuring transparency in public spending.</w:t>
      </w:r>
    </w:p>
    <w:p>
      <w:pPr>
        <w:numPr>
          <w:ilvl w:val="0"/>
          <w:numId w:val="1002"/>
        </w:numPr>
        <w:pStyle w:val="Compact"/>
      </w:pPr>
      <w:r>
        <w:rPr>
          <w:bCs/>
          <w:b/>
        </w:rPr>
        <w:t xml:space="preserve">FICA (Financial Intelligence Centre Act):</w:t>
      </w:r>
      <w:r>
        <w:t xml:space="preserve"> </w:t>
      </w:r>
      <w:r>
        <w:t xml:space="preserve">Auditors must conduct rigorous due diligence to prevent money laundering, a critical requirement given Cape Town's status as an international financial node.</w:t>
      </w:r>
    </w:p>
    <w:bookmarkEnd w:id="24"/>
    <w:bookmarkStart w:id="28" w:name="findings"/>
    <w:p>
      <w:pPr>
        <w:pStyle w:val="Heading2"/>
      </w:pPr>
      <w:r>
        <w:t xml:space="preserve">5. Findings and Analysis</w:t>
      </w:r>
    </w:p>
    <w:p>
      <w:pPr>
        <w:pStyle w:val="FirstParagraph"/>
      </w:pPr>
      <w:r>
        <w:t xml:space="preserve">The laboratory analysis yielded several critical findings regarding the current state of audit practices in the region:</w:t>
      </w:r>
    </w:p>
    <w:bookmarkStart w:id="25" w:name="Xf6015b37872c518b72d02b6fdc67cedddf02949"/>
    <w:p>
      <w:pPr>
        <w:pStyle w:val="Heading3"/>
      </w:pPr>
      <w:r>
        <w:t xml:space="preserve">5.1 Technical Gaps vs. Legislative Requirements</w:t>
      </w:r>
    </w:p>
    <w:p>
      <w:pPr>
        <w:pStyle w:val="FirstParagraph"/>
      </w:pPr>
      <w:r>
        <w:t xml:space="preserve">Data indicates that while most auditors demonstrate high proficiency in International Financial Reporting Standards (IFRS), there are notable gaps in their understanding of local legislative nuances, specifically regarding Section 29 reports for companies with high public interest scores. Auditors must be trained to draft these specific statutory reports accurately.</w:t>
      </w:r>
    </w:p>
    <w:bookmarkEnd w:id="25"/>
    <w:bookmarkStart w:id="26" w:name="the-impact-of-economic-disparity"/>
    <w:p>
      <w:pPr>
        <w:pStyle w:val="Heading3"/>
      </w:pPr>
      <w:r>
        <w:t xml:space="preserve">5.2 The Impact of Economic Disparity</w:t>
      </w:r>
    </w:p>
    <w:p>
      <w:pPr>
        <w:pStyle w:val="FirstParagraph"/>
      </w:pPr>
      <w:r>
        <w:t xml:space="preserve">An audit in</w:t>
      </w:r>
      <w:r>
        <w:t xml:space="preserve"> </w:t>
      </w:r>
      <w:r>
        <w:rPr>
          <w:bCs/>
          <w:b/>
        </w:rPr>
        <w:t xml:space="preserve">South Africa Cape Town</w:t>
      </w:r>
      <w:r>
        <w:br/>
      </w:r>
      <w:r>
        <w:t xml:space="preserve">cannot ignore the broader economic context. The report finds that modern auditors must possess skills in assessing going concern assumptions deeply influenced by local economic volatility and socio-political stability. Failure to account for these regional risks leads to material misstatements.</w:t>
      </w:r>
    </w:p>
    <w:bookmarkEnd w:id="26"/>
    <w:bookmarkStart w:id="27" w:name="digital-forensics-integration"/>
    <w:p>
      <w:pPr>
        <w:pStyle w:val="Heading3"/>
      </w:pPr>
      <w:r>
        <w:t xml:space="preserve">5.3 Digital Forensics Integration</w:t>
      </w:r>
    </w:p>
    <w:p>
      <w:pPr>
        <w:pStyle w:val="FirstParagraph"/>
      </w:pPr>
      <w:r>
        <w:t xml:space="preserve">The laboratory tests revealed that auditors utilizing advanced data analytics tools are significantly more effective at detecting fraud compared to traditional sampling methods. Given the high rate of corporate fraud, Cape Town-based firms must mandate continuous upskilling in digital forensics.</w:t>
      </w:r>
    </w:p>
    <w:bookmarkEnd w:id="27"/>
    <w:bookmarkEnd w:id="28"/>
    <w:bookmarkStart w:id="29" w:name="conclusions"/>
    <w:p>
      <w:pPr>
        <w:pStyle w:val="Heading2"/>
      </w:pPr>
      <w:r>
        <w:t xml:space="preserve">6. Conclusions</w:t>
      </w:r>
    </w:p>
    <w:p>
      <w:pPr>
        <w:pStyle w:val="FirstParagraph"/>
      </w:pPr>
      <w:r>
        <w:t xml:space="preserve">This laboratory report concludes that the role of an</w:t>
      </w:r>
      <w:r>
        <w:t xml:space="preserve"> </w:t>
      </w:r>
      <w:r>
        <w:rPr>
          <w:bCs/>
          <w:b/>
        </w:rPr>
        <w:t xml:space="preserve">Auditor</w:t>
      </w:r>
      <w:r>
        <w:t xml:space="preserve"> </w:t>
      </w:r>
      <w:r>
        <w:t xml:space="preserve">in</w:t>
      </w:r>
      <w:r>
        <w:t xml:space="preserve"> </w:t>
      </w:r>
      <w:r>
        <w:rPr>
          <w:bCs/>
          <w:b/>
        </w:rPr>
        <w:t xml:space="preserve">South Africa Cape Town</w:t>
      </w:r>
      <w:r>
        <w:br/>
      </w:r>
      <w:r>
        <w:t xml:space="preserve">is dynamic, rigorous, and heavily regulated. The city's position as a dual capital (legislative) demands auditors who are not merely technicians but strategic advisors on governance and compliance.</w:t>
      </w:r>
    </w:p>
    <w:p>
      <w:pPr>
        <w:pStyle w:val="BodyText"/>
      </w:pPr>
      <w:r>
        <w:t xml:space="preserve">To maintain professional integrity, auditors must continuously adapt to changes in the IRBA regulations, the Companies Act, and emerging global standards. The findings strongly suggest that ongoing education regarding anti-corruption laws (PCAA) and local public sector accounting is non-negotiable for any practitioner operating in this specific geographical and economic zone.</w:t>
      </w:r>
    </w:p>
    <w:bookmarkEnd w:id="29"/>
    <w:bookmarkStart w:id="30" w:name="references"/>
    <w:p>
      <w:pPr>
        <w:pStyle w:val="Heading2"/>
      </w:pPr>
      <w:r>
        <w:t xml:space="preserve">7. References</w:t>
      </w:r>
    </w:p>
    <w:p>
      <w:pPr>
        <w:numPr>
          <w:ilvl w:val="0"/>
          <w:numId w:val="1003"/>
        </w:numPr>
        <w:pStyle w:val="Compact"/>
      </w:pPr>
      <w:r>
        <w:rPr>
          <w:bCs/>
          <w:b/>
        </w:rPr>
        <w:t xml:space="preserve">The Companies Act 71 of 2008:</w:t>
      </w:r>
    </w:p>
    <w:p>
      <w:pPr>
        <w:numPr>
          <w:ilvl w:val="0"/>
          <w:numId w:val="1003"/>
        </w:numPr>
        <w:pStyle w:val="Compact"/>
      </w:pPr>
      <w:r>
        <w:rPr>
          <w:bCs/>
          <w:b/>
        </w:rPr>
        <w:t xml:space="preserve">King IV Report on Corporate Governance for South Africa, 2016:</w:t>
      </w:r>
    </w:p>
    <w:p>
      <w:pPr>
        <w:numPr>
          <w:ilvl w:val="0"/>
          <w:numId w:val="1003"/>
        </w:numPr>
        <w:pStyle w:val="Compact"/>
      </w:pPr>
      <w:r>
        <w:rPr>
          <w:bCs/>
          <w:b/>
        </w:rPr>
        <w:t xml:space="preserve">The Public Audit Act 25 of 2004:</w:t>
      </w:r>
    </w:p>
    <w:p>
      <w:pPr>
        <w:numPr>
          <w:ilvl w:val="0"/>
          <w:numId w:val="1003"/>
        </w:numPr>
        <w:pStyle w:val="Compact"/>
      </w:pPr>
      <w:r>
        <w:rPr>
          <w:bCs/>
          <w:b/>
        </w:rPr>
        <w:t xml:space="preserve">Financial Intelligence Centre Act (FICA) 38 of 2001:</w:t>
      </w:r>
    </w:p>
    <w:p>
      <w:pPr>
        <w:pStyle w:val="FirstParagraph"/>
      </w:pPr>
      <w:r>
        <w:t xml:space="preserve">End of Laboratory Report.</w:t>
      </w:r>
      <w:r>
        <w:br/>
      </w:r>
      <w:r>
        <w:t xml:space="preserve">Compiled for the Western Cape Provincial Audit Department.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Performance Evaluation in South Africa Cape Town</dc:title>
  <dc:creator/>
  <dc:language>en</dc:language>
  <cp:keywords/>
  <dcterms:created xsi:type="dcterms:W3CDTF">2026-07-29T20:30:23Z</dcterms:created>
  <dcterms:modified xsi:type="dcterms:W3CDTF">2026-07-29T20:30:23Z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