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Audit</w:t>
      </w:r>
      <w:r>
        <w:t xml:space="preserve"> </w:t>
      </w:r>
      <w:r>
        <w:t xml:space="preserve">Report:</w:t>
      </w:r>
      <w:r>
        <w:t xml:space="preserve"> </w:t>
      </w:r>
      <w:r>
        <w:t xml:space="preserve">United</w:t>
      </w:r>
      <w:r>
        <w:t xml:space="preserve"> </w:t>
      </w:r>
      <w:r>
        <w:t xml:space="preserve">States</w:t>
      </w:r>
      <w:r>
        <w:t xml:space="preserve"> </w:t>
      </w:r>
      <w:r>
        <w:t xml:space="preserve">Miami</w:t>
      </w:r>
    </w:p>
    <w:bookmarkStart w:id="20" w:name="laboratory-audit-report"/>
    <w:p>
      <w:pPr>
        <w:pStyle w:val="Heading1"/>
      </w:pPr>
      <w:r>
        <w:t xml:space="preserve">Laboratory Audit Report</w:t>
      </w:r>
    </w:p>
    <w:p>
      <w:pPr>
        <w:pStyle w:val="FirstParagraph"/>
      </w:pPr>
      <w:r>
        <w:rPr>
          <w:bCs/>
          <w:b/>
        </w:rPr>
        <w:t xml:space="preserve">Auditor:</w:t>
      </w:r>
      <w:r>
        <w:t xml:space="preserve"> </w:t>
      </w:r>
      <w:r>
        <w:t xml:space="preserve">Senior Compliance Inspector</w:t>
      </w:r>
      <w:r>
        <w:br/>
      </w:r>
      <w:r>
        <w:rPr>
          <w:bCs/>
          <w:b/>
        </w:rPr>
        <w:t xml:space="preserve">Date:</w:t>
      </w:r>
      <w:r>
        <w:t xml:space="preserve"> </w:t>
      </w:r>
      <w:r>
        <w:t xml:space="preserve">October 24, 2023</w:t>
      </w:r>
      <w:r>
        <w:br/>
      </w:r>
      <w:r>
        <w:rPr>
          <w:bCs/>
          <w:b/>
        </w:rPr>
        <w:t xml:space="preserve">Location:</w:t>
      </w:r>
      <w:r>
        <w:t xml:space="preserve"> </w:t>
      </w:r>
      <w:r>
        <w:t xml:space="preserve">United States Miami, Florida</w:t>
      </w:r>
    </w:p>
    <w:bookmarkEnd w:id="20"/>
    <w:bookmarkStart w:id="21" w:name="executive-summary"/>
    <w:p>
      <w:pPr>
        <w:pStyle w:val="Heading2"/>
      </w:pPr>
      <w:r>
        <w:t xml:space="preserve">1. Executive Summary</w:t>
      </w:r>
    </w:p>
    <w:p>
      <w:pPr>
        <w:pStyle w:val="FirstParagraph"/>
      </w:pPr>
      <w:r>
        <w:t xml:space="preserve">This document serves as the comprehensive final report for the routine compliance audit conducted at the regional medical research facility located in</w:t>
      </w:r>
      <w:r>
        <w:t xml:space="preserve"> </w:t>
      </w:r>
      <w:r>
        <w:rPr>
          <w:bCs/>
          <w:b/>
        </w:rPr>
        <w:t xml:space="preserve">Miami, United States</w:t>
      </w:r>
      <w:r>
        <w:t xml:space="preserve">. The primary objective of this engagement was to evaluate the laboratory's adherence to federal regulations, specifically those mandated by OSHA (Occupational Safety and Health Administration) and CLIA (Clinical Laboratory Improvement Amendments), as well as internal quality control protocols. As the designated</w:t>
      </w:r>
      <w:r>
        <w:t xml:space="preserve"> </w:t>
      </w:r>
      <w:r>
        <w:rPr>
          <w:bCs/>
          <w:b/>
        </w:rPr>
        <w:t xml:space="preserve">Auditor</w:t>
      </w:r>
      <w:r>
        <w:t xml:space="preserve">, I have meticulously reviewed operational workflows, safety data sheets, personnel training records, and equipment calibration logs. The findings detailed herein reflect a thorough investigation into the laboratory's current state of compliance within the unique regulatory environment of</w:t>
      </w:r>
      <w:r>
        <w:t xml:space="preserve"> </w:t>
      </w:r>
      <w:r>
        <w:rPr>
          <w:bCs/>
          <w:b/>
        </w:rPr>
        <w:t xml:space="preserve">United States Miami</w:t>
      </w:r>
      <w:r>
        <w:t xml:space="preserve">.</w:t>
      </w:r>
    </w:p>
    <w:p>
      <w:pPr>
        <w:pStyle w:val="BodyText"/>
      </w:pPr>
      <w:r>
        <w:t xml:space="preserve">The audit covered all critical aspects of laboratory management, from hazardous material storage to data integrity in patient testing results. While several areas demonstrated high standards of operational excellence, specific deficiencies were identified that require immediate corrective action. This report outlines these observations and provides actionable recommendations to ensure the facility maintains its licensure and operational viability in the competitive healthcare market of Miami.</w:t>
      </w:r>
    </w:p>
    <w:bookmarkEnd w:id="21"/>
    <w:bookmarkStart w:id="22" w:name="scope-and-methodology"/>
    <w:p>
      <w:pPr>
        <w:pStyle w:val="Heading2"/>
      </w:pPr>
      <w:r>
        <w:t xml:space="preserve">2. Scope and Methodology</w:t>
      </w:r>
    </w:p>
    <w:p>
      <w:pPr>
        <w:pStyle w:val="FirstParagraph"/>
      </w:pPr>
      <w:r>
        <w:t xml:space="preserve">The scope of this audit was defined by the specific requirements for clinical laboratories operating within the jurisdiction of</w:t>
      </w:r>
      <w:r>
        <w:t xml:space="preserve"> </w:t>
      </w:r>
      <w:r>
        <w:rPr>
          <w:bCs/>
          <w:b/>
        </w:rPr>
        <w:t xml:space="preserve">Miami, United States</w:t>
      </w:r>
      <w:r>
        <w:t xml:space="preserve">. The methodology employed included on-site physical inspections, interviews with laboratory directors and technical staff, and a retrospective review of documentation dating back twelve months. The role of the</w:t>
      </w:r>
      <w:r>
        <w:t xml:space="preserve"> </w:t>
      </w:r>
      <w:r>
        <w:rPr>
          <w:bCs/>
          <w:b/>
        </w:rPr>
        <w:t xml:space="preserve">Auditor</w:t>
      </w:r>
      <w:r>
        <w:t xml:space="preserve"> </w:t>
      </w:r>
      <w:r>
        <w:t xml:space="preserve">was strictly observational and evaluative, ensuring that all assessments were based on empirical evidence rather than anecdotal reports.</w:t>
      </w:r>
    </w:p>
    <w:p>
      <w:pPr>
        <w:pStyle w:val="BodyText"/>
      </w:pPr>
      <w:r>
        <w:t xml:space="preserve">Key areas evaluated included:</w:t>
      </w:r>
    </w:p>
    <w:p>
      <w:pPr>
        <w:numPr>
          <w:ilvl w:val="0"/>
          <w:numId w:val="1001"/>
        </w:numPr>
        <w:pStyle w:val="Compact"/>
      </w:pPr>
      <w:r>
        <w:t xml:space="preserve">Biohazard safety protocols and personal protective equipment (PPE) usage.</w:t>
      </w:r>
    </w:p>
    <w:p>
      <w:pPr>
        <w:numPr>
          <w:ilvl w:val="0"/>
          <w:numId w:val="1001"/>
        </w:numPr>
        <w:pStyle w:val="Compact"/>
      </w:pPr>
      <w:r>
        <w:t xml:space="preserve">HVAC system functionality regarding air exchange rates and negative pressure zones.</w:t>
      </w:r>
    </w:p>
    <w:p>
      <w:pPr>
        <w:numPr>
          <w:ilvl w:val="0"/>
          <w:numId w:val="1001"/>
        </w:numPr>
        <w:pStyle w:val="Compact"/>
      </w:pPr>
      <w:r>
        <w:t xml:space="preserve">Clinical Laboratory Improvement Amendments (CLIA) compliance documentation.</w:t>
      </w:r>
    </w:p>
    <w:p>
      <w:pPr>
        <w:numPr>
          <w:ilvl w:val="0"/>
          <w:numId w:val="1001"/>
        </w:numPr>
        <w:pStyle w:val="Compact"/>
      </w:pPr>
      <w:r>
        <w:t xml:space="preserve">Data management systems ensuring HIPAA compliance for patient records in the United States context.</w:t>
      </w:r>
    </w:p>
    <w:bookmarkEnd w:id="22"/>
    <w:bookmarkStart w:id="26" w:name="observations-and-findings"/>
    <w:p>
      <w:pPr>
        <w:pStyle w:val="Heading2"/>
      </w:pPr>
      <w:r>
        <w:t xml:space="preserve">3. Observations and Findings</w:t>
      </w:r>
    </w:p>
    <w:bookmarkStart w:id="23" w:name="safety-and-environmental-controls"/>
    <w:p>
      <w:pPr>
        <w:pStyle w:val="Heading3"/>
      </w:pPr>
      <w:r>
        <w:t xml:space="preserve">3.1 Safety and Environmental Controls</w:t>
      </w:r>
    </w:p>
    <w:p>
      <w:pPr>
        <w:pStyle w:val="FirstParagraph"/>
      </w:pPr>
      <w:r>
        <w:t xml:space="preserve">A significant portion of the audit focused on environmental safety, a critical factor for any laboratory in the humid climate of Miami where mold prevention is also essential. The</w:t>
      </w:r>
      <w:r>
        <w:t xml:space="preserve"> </w:t>
      </w:r>
      <w:r>
        <w:rPr>
          <w:bCs/>
          <w:b/>
        </w:rPr>
        <w:t xml:space="preserve">Auditor</w:t>
      </w:r>
      <w:r>
        <w:t xml:space="preserve"> </w:t>
      </w:r>
      <w:r>
        <w:t xml:space="preserve">noted that the biological safety cabinets were functioning within acceptable parameters; however, one unit required immediate filter replacement. Furthermore, while general housekeeping was satisfactory, the storage area for flammable chemicals lacked adequate secondary containment barriers as required by local fire codes in Miami-Dade County.</w:t>
      </w:r>
    </w:p>
    <w:bookmarkEnd w:id="23"/>
    <w:bookmarkStart w:id="24" w:name="personnel-competency"/>
    <w:p>
      <w:pPr>
        <w:pStyle w:val="Heading3"/>
      </w:pPr>
      <w:r>
        <w:t xml:space="preserve">3.2 Personnel Competency</w:t>
      </w:r>
    </w:p>
    <w:p>
      <w:pPr>
        <w:pStyle w:val="FirstParagraph"/>
      </w:pPr>
      <w:r>
        <w:t xml:space="preserve">Review of personnel files revealed that 95% of the staff had completed their mandatory annual safety training. However, two senior technicians were found to be missing the most recent update regarding hazardous waste disposal regulations specific to Florida state law. As the primary compliance officer responsible for this review, it is imperative that these training gaps are closed immediately to avoid potential citations during future federal inspections.</w:t>
      </w:r>
    </w:p>
    <w:bookmarkEnd w:id="24"/>
    <w:bookmarkStart w:id="25" w:name="quality-assurance-and-data-integrity"/>
    <w:p>
      <w:pPr>
        <w:pStyle w:val="Heading3"/>
      </w:pPr>
      <w:r>
        <w:t xml:space="preserve">3.3 Quality Assurance and Data Integrity</w:t>
      </w:r>
    </w:p>
    <w:p>
      <w:pPr>
        <w:pStyle w:val="FirstParagraph"/>
      </w:pPr>
      <w:r>
        <w:t xml:space="preserve">In the realm of quality assurance, the laboratory demonstrated robust proficiency testing participation rates. The internal QC charts were well-maintained, indicating a strong culture of quality among the staff in this Miami facility. However, discrepancies were noted in the electronic health record (EHR) audit trails for three specific test orders. These gaps raise concerns regarding data integrity and potential vulnerabilities in information security protocols.</w:t>
      </w:r>
    </w:p>
    <w:bookmarkEnd w:id="25"/>
    <w:bookmarkEnd w:id="26"/>
    <w:bookmarkStart w:id="27" w:name="critical-deficiencies"/>
    <w:p>
      <w:pPr>
        <w:pStyle w:val="Heading2"/>
      </w:pPr>
      <w:r>
        <w:t xml:space="preserve">4. Critical Deficiencies</w:t>
      </w:r>
    </w:p>
    <w:p>
      <w:pPr>
        <w:pStyle w:val="FirstParagraph"/>
      </w:pPr>
      <w:r>
        <w:t xml:space="preserve">The most pressing issue identified by the</w:t>
      </w:r>
      <w:r>
        <w:t xml:space="preserve"> </w:t>
      </w:r>
      <w:r>
        <w:rPr>
          <w:bCs/>
          <w:b/>
        </w:rPr>
        <w:t xml:space="preserve">Auditor</w:t>
      </w:r>
      <w:r>
        <w:t xml:space="preserve"> </w:t>
      </w:r>
      <w:r>
        <w:t xml:space="preserve">relates to the emergency shower and eyewash station calibration. Federal OSHA standards require that these devices be tested weekly, and records must be kept on-site. The current logbook showed missing entries for three consecutive weeks prior to the audit date. In a high-risk environment like a clinical lab in</w:t>
      </w:r>
      <w:r>
        <w:t xml:space="preserve"> </w:t>
      </w:r>
      <w:r>
        <w:rPr>
          <w:bCs/>
          <w:b/>
        </w:rPr>
        <w:t xml:space="preserve">United States Miami</w:t>
      </w:r>
      <w:r>
        <w:t xml:space="preserve">, immediate access to clean water for decontamination is non-negotiable. This deficiency poses a direct risk to personnel safety and represents a severe compliance violation.</w:t>
      </w:r>
    </w:p>
    <w:p>
      <w:pPr>
        <w:pStyle w:val="BodyText"/>
      </w:pPr>
      <w:r>
        <w:t xml:space="preserve">Additionally, the calibration certificates for the automated hematology analyzer were expired. This equipment is critical for diagnostic accuracy in patient care. Operating without current calibration data undermines the validity of all test results generated since the last certification date. The laboratory must immediately halt usage of this instrument until it has been recalibrated by a certified technician and verified against known controls.</w:t>
      </w:r>
    </w:p>
    <w:bookmarkEnd w:id="27"/>
    <w:bookmarkStart w:id="28" w:name="recommendations-for-corrective-action"/>
    <w:p>
      <w:pPr>
        <w:pStyle w:val="Heading2"/>
      </w:pPr>
      <w:r>
        <w:t xml:space="preserve">5. Recommendations for Corrective Action</w:t>
      </w:r>
    </w:p>
    <w:p>
      <w:pPr>
        <w:pStyle w:val="FirstParagraph"/>
      </w:pPr>
      <w:r>
        <w:t xml:space="preserve">To address the findings outlined above, the following corrective actions are mandated:</w:t>
      </w:r>
    </w:p>
    <w:p>
      <w:pPr>
        <w:numPr>
          <w:ilvl w:val="0"/>
          <w:numId w:val="1002"/>
        </w:numPr>
        <w:pStyle w:val="Compact"/>
      </w:pPr>
      <w:r>
        <w:rPr>
          <w:bCs/>
          <w:b/>
        </w:rPr>
        <w:t xml:space="preserve">Safety Infrastructure:</w:t>
      </w:r>
      <w:r>
        <w:t xml:space="preserve"> </w:t>
      </w:r>
      <w:r>
        <w:t xml:space="preserve">Immediately replace filters in biological safety cabinet #3 and install secondary containment units for chemical storage. This aligns with best practices for labs in tropical climates like Miami, where moisture can degrade standard containers.</w:t>
      </w:r>
    </w:p>
    <w:p>
      <w:pPr>
        <w:numPr>
          <w:ilvl w:val="0"/>
          <w:numId w:val="1002"/>
        </w:numPr>
        <w:pStyle w:val="Compact"/>
      </w:pPr>
      <w:r>
        <w:rPr>
          <w:bCs/>
          <w:b/>
        </w:rPr>
        <w:t xml:space="preserve">Training Compliance:</w:t>
      </w:r>
      <w:r>
        <w:t xml:space="preserve"> </w:t>
      </w:r>
      <w:r>
        <w:t xml:space="preserve">Schedule mandatory refresher courses for the two identified technicians within five business days. All future training must be documented digitally to prevent logbook errors.</w:t>
      </w:r>
    </w:p>
    <w:p>
      <w:pPr>
        <w:numPr>
          <w:ilvl w:val="0"/>
          <w:numId w:val="1002"/>
        </w:numPr>
        <w:pStyle w:val="Compact"/>
      </w:pPr>
      <w:r>
        <w:rPr>
          <w:bCs/>
          <w:b/>
        </w:rPr>
        <w:t xml:space="preserve">Data Security Audit:</w:t>
      </w:r>
      <w:r>
        <w:t xml:space="preserve"> </w:t>
      </w:r>
      <w:r>
        <w:t xml:space="preserve">Conduct a full IT audit of the EHR system to identify and patch vulnerabilities allowing unauthorized access trails. This is crucial for maintaining HIPAA compliance in the United States.</w:t>
      </w:r>
    </w:p>
    <w:p>
      <w:pPr>
        <w:numPr>
          <w:ilvl w:val="0"/>
          <w:numId w:val="1002"/>
        </w:numPr>
        <w:pStyle w:val="Compact"/>
      </w:pPr>
      <w:r>
        <w:rPr>
          <w:bCs/>
          <w:b/>
        </w:rPr>
        <w:t xml:space="preserve">Equipment Recalibration:</w:t>
      </w:r>
      <w:r>
        <w:t xml:space="preserve"> </w:t>
      </w:r>
      <w:r>
        <w:t xml:space="preserve">Cease operations on the hematology analyzer until recalibrated. Document the re-validation process thoroughly.</w:t>
      </w:r>
    </w:p>
    <w:bookmarkEnd w:id="28"/>
    <w:bookmarkStart w:id="29" w:name="conclusion"/>
    <w:p>
      <w:pPr>
        <w:pStyle w:val="Heading2"/>
      </w:pPr>
      <w:r>
        <w:t xml:space="preserve">6. Conclusion</w:t>
      </w:r>
    </w:p>
    <w:p>
      <w:pPr>
        <w:pStyle w:val="FirstParagraph"/>
      </w:pPr>
      <w:r>
        <w:t xml:space="preserve">In conclusion, while the laboratory in Miami exhibits a strong foundational commitment to quality and patient safety, there are specific procedural lapses that must be rectified. The role of the</w:t>
      </w:r>
      <w:r>
        <w:t xml:space="preserve"> </w:t>
      </w:r>
      <w:r>
        <w:rPr>
          <w:bCs/>
          <w:b/>
        </w:rPr>
        <w:t xml:space="preserve">Auditor</w:t>
      </w:r>
      <w:r>
        <w:t xml:space="preserve"> </w:t>
      </w:r>
      <w:r>
        <w:t xml:space="preserve">is not merely to identify failures but to facilitate improvement. By addressing the critical deficiencies regarding safety equipment calibration and personnel training records, this facility will reinforce its standing as a reliable healthcare provider in</w:t>
      </w:r>
      <w:r>
        <w:t xml:space="preserve"> </w:t>
      </w:r>
      <w:r>
        <w:rPr>
          <w:bCs/>
          <w:b/>
        </w:rPr>
        <w:t xml:space="preserve">United States Miami</w:t>
      </w:r>
      <w:r>
        <w:t xml:space="preserve">.</w:t>
      </w:r>
    </w:p>
    <w:p>
      <w:pPr>
        <w:pStyle w:val="BodyText"/>
      </w:pPr>
      <w:r>
        <w:t xml:space="preserve">The recommendations provided in this report are designed to be achievable within a thirty-day timeframe. A follow-up audit will be scheduled for December 2023 to verify the implementation of these corrective measures. Failure to adhere to these guidelines may result in suspension of operating licenses or federal penalties.</w:t>
      </w:r>
    </w:p>
    <w:bookmarkEnd w:id="29"/>
    <w:bookmarkStart w:id="30" w:name="signatures"/>
    <w:p>
      <w:pPr>
        <w:pStyle w:val="Heading2"/>
      </w:pPr>
      <w:r>
        <w:t xml:space="preserve">7. Signatures</w:t>
      </w:r>
    </w:p>
    <w:p>
      <w:pPr>
        <w:pStyle w:val="FirstParagraph"/>
      </w:pPr>
      <w:r>
        <w:t xml:space="preserve">Name</w:t>
      </w:r>
    </w:p>
    <w:bookmarkEnd w:id="30"/>
    <w:p>
      <w:pPr>
        <w:pStyle w:val="BodyText"/>
      </w:pPr>
      <w:r>
        <w:t xml:space="preserve">Title</w:t>
      </w:r>
    </w:p>
    <w:p>
      <w:pPr>
        <w:pStyle w:val="BodyText"/>
      </w:pPr>
      <w:r>
        <w:t xml:space="preserve">Date</w:t>
      </w:r>
    </w:p>
    <w:p>
      <w:pPr>
        <w:pStyle w:val="BodyText"/>
      </w:pPr>
      <w:r>
        <w:br/>
      </w:r>
    </w:p>
    <w:p>
      <w:pPr>
        <w:pStyle w:val="BodyText"/>
      </w:pPr>
      <w:r>
        <w:rPr>
          <w:bCs/>
          <w:b/>
        </w:rPr>
        <w:t xml:space="preserve">Auditor Signature:</w:t>
      </w:r>
      <w:r>
        <w:t xml:space="preserve"> </w:t>
      </w:r>
      <w:r>
        <w:t xml:space="preserve">____________________________</w:t>
      </w:r>
      <w:r>
        <w:br/>
      </w:r>
      <w:r>
        <w:t xml:space="preserve">Date: ____________________________</w:t>
      </w:r>
    </w:p>
    <w:p>
      <w:pPr>
        <w:pStyle w:val="BodyText"/>
      </w:pPr>
      <w:r>
        <w:br/>
      </w:r>
    </w:p>
    <w:p>
      <w:pPr>
        <w:pStyle w:val="BodyText"/>
      </w:pPr>
      <w:r>
        <w:rPr>
          <w:bCs/>
          <w:b/>
        </w:rPr>
        <w:t xml:space="preserve">Laboratory Director Signature:</w:t>
      </w:r>
      <w:r>
        <w:t xml:space="preserve"> </w:t>
      </w:r>
      <w:r>
        <w:t xml:space="preserve">____________________________</w:t>
      </w:r>
      <w:r>
        <w:br/>
      </w:r>
      <w:r>
        <w:t xml:space="preserve">Date: ____________________________</w:t>
      </w:r>
    </w:p>
    <w:p>
      <w:pPr>
        <w:pStyle w:val="BodyText"/>
      </w:pPr>
      <w:r>
        <w:br/>
      </w:r>
    </w:p>
    <w:bookmarkStart w:id="31" w:name="acknowledgments"/>
    <w:p>
      <w:pPr>
        <w:pStyle w:val="Heading3"/>
      </w:pPr>
      <w:r>
        <w:t xml:space="preserve">Acknowledgments</w:t>
      </w:r>
    </w:p>
    <w:p>
      <w:pPr>
        <w:pStyle w:val="FirstParagraph"/>
      </w:pPr>
      <w:r>
        <w:t xml:space="preserve">This report was generated in accordance with the standard operating procedures for laboratory audits in the United States. Special thanks to the staff at this Miami location for their cooperation during the inspection process.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Audit Report: United States Miami</dc:title>
  <dc:creator/>
  <dc:language>en</dc:language>
  <cp:keywords/>
  <dcterms:created xsi:type="dcterms:W3CDTF">2026-07-29T14:03:25Z</dcterms:created>
  <dcterms:modified xsi:type="dcterms:W3CDTF">2026-07-29T14:03:25Z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