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Auditor</w:t>
      </w:r>
      <w:r>
        <w:t xml:space="preserve"> </w:t>
      </w:r>
      <w:r>
        <w:t xml:space="preserve">Operations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Xb8149f76a02c48cf60420f4da374926414f0db7"/>
    <w:p>
      <w:pPr>
        <w:pStyle w:val="Heading1"/>
      </w:pPr>
      <w:r>
        <w:t xml:space="preserve">Laboratory Audit Report: Compliance and Operational Analysis</w:t>
      </w:r>
    </w:p>
    <w:p>
      <w:pPr>
        <w:pStyle w:val="FirstParagraph"/>
      </w:pPr>
      <w:r>
        <w:rPr>
          <w:bCs/>
          <w:b/>
        </w:rPr>
        <w:t xml:space="preserve">Date:</w:t>
      </w:r>
      <w:r>
        <w:t xml:space="preserve"> </w:t>
      </w:r>
      <w:r>
        <w:t xml:space="preserve">October 26, 2023</w:t>
      </w:r>
    </w:p>
    <w:p>
      <w:pPr>
        <w:pStyle w:val="BodyText"/>
      </w:pPr>
      <w:r>
        <w:rPr>
          <w:bCs/>
          <w:b/>
        </w:rPr>
        <w:t xml:space="preserve">Jurisdiction:</w:t>
      </w:r>
    </w:p>
    <w:p>
      <w:pPr>
        <w:pStyle w:val="BodyText"/>
      </w:pPr>
      <w:r>
        <w:rPr>
          <w:bCs/>
          <w:b/>
        </w:rPr>
        <w:t xml:space="preserve">Auditor Role: Independent Fiscal and Compliance Auditor</w:t>
      </w:r>
    </w:p>
    <w:p>
      <w:pPr>
        <w:pStyle w:val="BodyText"/>
      </w:pPr>
      <w:r>
        <w:t xml:space="preserve">1. Executive Summary</w:t>
      </w:r>
    </w:p>
    <w:p>
      <w:pPr>
        <w:pStyle w:val="BodyText"/>
      </w:pPr>
      <w:r>
        <w:t xml:space="preserve">This document serves as the definitive laboratory audit report regarding operational compliance, financial integrity, and regulatory adherence for entities operating within the complex jurisdiction of United States New York City. The primary objective of this audit was to evaluate the efficacy of internal controls, ensure strict adherence to local municipal codes as well as federal statutes applicable in United States New York City, and assess the overall transparency of financial reporting mechanisms employed by audited entities. As an Auditor tasked with this critical assignment, it is imperative that all findings reflect the rigorous standards expected in one of the world’s most regulated urban environments.</w:t>
      </w:r>
    </w:p>
    <w:p>
      <w:pPr>
        <w:pStyle w:val="BodyText"/>
      </w:pPr>
      <w:r>
        <w:t xml:space="preserve">The scope of this laboratory analysis extends beyond traditional financial auditing. It encompasses environmental safety protocols, data security measures regarding sensitive citizen information, and labor law compliance specific to New York City mandates. The Auditor has conducted extensive field tests, document reviews, and stakeholder interviews to compile a holistic view of the current operational status. This report is designed not merely as a record of past actions but as a strategic tool for future improvement within the dynamic ecosystem of United States New York City.</w:t>
      </w:r>
    </w:p>
    <w:bookmarkStart w:id="20" w:name="Xde606a443427337de20f7884a92d7b5b901fb7a"/>
    <w:p>
      <w:pPr>
        <w:pStyle w:val="Heading2"/>
      </w:pPr>
      <w:r>
        <w:t xml:space="preserve">Section 1: Background and Regulatory Framework</w:t>
      </w:r>
    </w:p>
    <w:p>
      <w:pPr>
        <w:pStyle w:val="FirstParagraph"/>
      </w:pPr>
      <w:r>
        <w:t xml:space="preserve">To understand the gravity of the Auditor's findings, one must first appreciate the regulatory labyrinth present in United States New York City. Entities operating here are subject to a tripartite regulatory pressure cooker consisting of federal laws enforced by agencies such as the Securities and Exchange Commission (SEC) or Occupational Safety and Health Administration (OSHA), state regulations from New York State, and intricate local rules imposed by various city departments including the Department of Finance, Department of Consumer Affairs, and the Fire Department.</w:t>
      </w:r>
    </w:p>
    <w:p>
      <w:pPr>
        <w:pStyle w:val="BodyText"/>
      </w:pPr>
      <w:r>
        <w:t xml:space="preserve">The role of an Auditor in this context is multifaceted. We are not only verifying numbers but also validating processes. In United States New York City, where business volumes are immense and transaction speeds are rapid, the margin for error is virtually non-existent. Therefore, this laboratory report emphasizes the need for robust automated controls and human oversight mechanisms. The Auditor notes that previous audits in similar high-density urban centers have revealed significant gaps in real-time reporting capabilities. This lab report aims to identify if such gaps exist within the tested entities.</w:t>
      </w:r>
    </w:p>
    <w:bookmarkEnd w:id="20"/>
    <w:bookmarkStart w:id="21" w:name="Xe594654695d5447d630f346090cbaa3caf24402"/>
    <w:p>
      <w:pPr>
        <w:pStyle w:val="Heading2"/>
      </w:pPr>
      <w:r>
        <w:t xml:space="preserve">Section 2: Methodology of the Laboratory Audit</w:t>
      </w:r>
    </w:p>
    <w:p>
      <w:pPr>
        <w:pStyle w:val="FirstParagraph"/>
      </w:pPr>
      <w:r>
        <w:t xml:space="preserve">The methodology employed by the Auditor follows a systematic approach known as "Risk-Based Auditing." This involves identifying high-risk areas specific to United States New York City operations. For instance, sectors involving construction in densely populated neighborhoods face heightened scrutiny regarding waste disposal and noise ordinances. Similarly, financial institutions in Manhattan must adhere to stringent anti-money laundering (AML) protocols.</w:t>
      </w:r>
    </w:p>
    <w:p>
      <w:pPr>
        <w:pStyle w:val="BodyText"/>
      </w:pPr>
      <w:r>
        <w:t xml:space="preserve">Data collection was performed through a hybrid model combining digital forensics and physical inspections. The Auditor utilized advanced analytics software to detect anomalies in transaction logs, focusing specifically on patterns that might indicate fraud or systemic errors. Furthermore, site visits were conducted across five boroughs of United States New York City to ensure geographic diversity in the audit sample. Physical laboratory tests included verifying inventory counts against digital records and assessing the calibration status of machinery used in production facilities.</w:t>
      </w:r>
    </w:p>
    <w:p>
      <w:pPr>
        <w:pStyle w:val="BodyText"/>
      </w:pPr>
      <w:r>
        <w:t xml:space="preserve">It is crucial to mention that all methodologies were adjusted to account for local cultural and operational nuances unique to United States New York City. For example, shift work patterns often differ significantly from standard 9-to-5 operations, requiring the Auditor to conduct interviews and inspections during non-standard hours to capture accurate operational snapshots.</w:t>
      </w:r>
    </w:p>
    <w:bookmarkEnd w:id="21"/>
    <w:bookmarkStart w:id="22" w:name="section-3-key-findings"/>
    <w:p>
      <w:pPr>
        <w:pStyle w:val="Heading2"/>
      </w:pPr>
      <w:r>
        <w:t xml:space="preserve">Section 3: Key Findings</w:t>
      </w:r>
    </w:p>
    <w:p>
      <w:pPr>
        <w:pStyle w:val="FirstParagraph"/>
      </w:pPr>
      <w:r>
        <w:t xml:space="preserve">The results of this comprehensive laboratory audit have revealed several critical areas of concern and success. Firstly, regarding financial transparency, most entities demonstrated strong adherence to Generally Accepted Accounting Principles (GAAP). However, minor discrepancies were noted in the allocation of overhead costs related to high-property-tax districts in United States New York City. The Auditor recommends a revised costing model that more accurately reflects the actual burden of municipal taxes on per-unit product costs.</w:t>
      </w:r>
    </w:p>
    <w:p>
      <w:pPr>
        <w:pStyle w:val="BodyText"/>
      </w:pPr>
      <w:r>
        <w:t xml:space="preserve">In terms of regulatory compliance, significant improvements have been observed in labor law adherence. Following recent updates to minimum wage laws and paid safe leave regulations in United States New York City, audited entities have largely updated their HR software systems. Nevertheless, manual tracking errors persist in smaller satellite offices scattered throughout the five boroughs. The Auditor has identified these locations as high-risk zones for potential litigation due to incorrect payroll calculations.</w:t>
      </w:r>
    </w:p>
    <w:p>
      <w:pPr>
        <w:pStyle w:val="BodyText"/>
      </w:pPr>
      <w:r>
        <w:t xml:space="preserve">Environmental compliance also emerged as a focal point. United States New York City has implemented aggressive sustainability goals under initiatives like Local Law 97, which sets strict carbon emission limits for large buildings. The laboratory analysis of energy consumption data revealed that while major headquarters are compliant, smaller branch locations often lack the sophisticated monitoring equipment required to report accurate emissions data in real-time. This lag in reporting poses a compliance risk.</w:t>
      </w:r>
    </w:p>
    <w:bookmarkEnd w:id="22"/>
    <w:bookmarkStart w:id="23" w:name="X446b549f78de3e81fdea0c5d97e49deff58783a"/>
    <w:p>
      <w:pPr>
        <w:pStyle w:val="Heading2"/>
      </w:pPr>
      <w:r>
        <w:t xml:space="preserve">Section 4: Risk Assessment and Vulnerabilities</w:t>
      </w:r>
    </w:p>
    <w:p>
      <w:pPr>
        <w:pStyle w:val="FirstParagraph"/>
      </w:pPr>
      <w:r>
        <w:t xml:space="preserve">The Auditor must highlight the increasing threat of cyber vulnerabilities within United States New York City’s digital infrastructure. As entities digitize their records to meet audit trail requirements, they become attractive targets for ransomware attacks. The lab report indicates that while firewalls are robust, employee awareness training regarding phishing attempts is inconsistent across different departments.</w:t>
      </w:r>
    </w:p>
    <w:p>
      <w:pPr>
        <w:pStyle w:val="BodyText"/>
      </w:pPr>
      <w:r>
        <w:t xml:space="preserve">Additionally, supply chain resilience remains a vulnerability. Recent global disruptions have exposed weaknesses in just-in-time inventory models prevalent in United States New York City retail and manufacturing sectors. The Auditor found that many entities lack adequate contingency plans for supplier failures, which could lead to significant operational downtime and financial loss.</w:t>
      </w:r>
    </w:p>
    <w:bookmarkEnd w:id="23"/>
    <w:bookmarkStart w:id="24" w:name="section-5-recommendations"/>
    <w:p>
      <w:pPr>
        <w:pStyle w:val="Heading2"/>
      </w:pPr>
      <w:r>
        <w:t xml:space="preserve">Section 5: Recommendations</w:t>
      </w:r>
    </w:p>
    <w:p>
      <w:pPr>
        <w:pStyle w:val="FirstParagraph"/>
      </w:pPr>
      <w:r>
        <w:t xml:space="preserve">In conclusion, this laboratory audit report provides a clear roadmap for enhancing operational integrity within the jurisdiction of United States New York City. The Auditor strongly recommends the following actions:</w:t>
      </w:r>
    </w:p>
    <w:p>
      <w:pPr>
        <w:numPr>
          <w:ilvl w:val="0"/>
          <w:numId w:val="1001"/>
        </w:numPr>
        <w:pStyle w:val="Compact"/>
      </w:pPr>
      <w:r>
        <w:rPr>
          <w:bCs/>
          <w:b/>
        </w:rPr>
        <w:t xml:space="preserve">Implementation of Automated Compliance Engines:</w:t>
      </w:r>
      <w:r>
        <w:t xml:space="preserve"> </w:t>
      </w:r>
      <w:r>
        <w:t xml:space="preserve">Entities should invest in software that automatically updates against changes in United States New York City municipal codes, reducing manual oversight burdens.</w:t>
      </w:r>
    </w:p>
    <w:p>
      <w:pPr>
        <w:numPr>
          <w:ilvl w:val="0"/>
          <w:numId w:val="1001"/>
        </w:numPr>
        <w:pStyle w:val="Compact"/>
      </w:pPr>
      <w:r>
        <w:rPr>
          <w:bCs/>
          <w:b/>
        </w:rPr>
        <w:t xml:space="preserve">Enhanced Cybersecurity Training:</w:t>
      </w:r>
    </w:p>
    <w:p>
      <w:pPr>
        <w:numPr>
          <w:ilvl w:val="0"/>
          <w:numId w:val="1001"/>
        </w:numPr>
        <w:pStyle w:val="Compact"/>
      </w:pPr>
      <w:r>
        <w:rPr>
          <w:bCs/>
          <w:b/>
        </w:rPr>
        <w:t xml:space="preserve">Routine Energy Audits:</w:t>
      </w:r>
      <w:r>
        <w:t xml:space="preserve"> </w:t>
      </w:r>
      <w:r>
        <w:t xml:space="preserve">Regular third-party assessments of energy usage to ensure ongoing compliance with Local Law 97 and other sustainability mandates.</w:t>
      </w:r>
    </w:p>
    <w:p>
      <w:pPr>
        <w:numPr>
          <w:ilvl w:val="0"/>
          <w:numId w:val="1001"/>
        </w:numPr>
        <w:pStyle w:val="Compact"/>
      </w:pPr>
      <w:r>
        <w:rPr>
          <w:bCs/>
          <w:b/>
        </w:rPr>
        <w:t xml:space="preserve">Standardization of Payroll Processes:</w:t>
      </w:r>
    </w:p>
    <w:p>
      <w:pPr>
        <w:pStyle w:val="FirstParagraph"/>
      </w:pPr>
      <w:r>
        <w:t xml:space="preserve">The Auditor affirms that while challenges exist, the entities reviewed possess the capacity to achieve excellence. By addressing these findings promptly, stakeholders can ensure sustained compliance and operational efficiency in the demanding environment of United States New York City. This lab report stands as a testament to our commitment to rigorous scrutiny and continuous improvement.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Auditor Operations in United States New York City</dc:title>
  <dc:creator/>
  <dc:language>en</dc:language>
  <cp:keywords/>
  <dcterms:created xsi:type="dcterms:W3CDTF">2026-07-29T20:53:18Z</dcterms:created>
  <dcterms:modified xsi:type="dcterms:W3CDTF">2026-07-29T20:53:18Z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