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Lab</w:t>
      </w:r>
      <w:r>
        <w:t xml:space="preserve"> </w:t>
      </w:r>
      <w:r>
        <w:t xml:space="preserve">Report:</w:t>
      </w:r>
      <w:r>
        <w:t xml:space="preserve"> </w:t>
      </w:r>
      <w:r>
        <w:t xml:space="preserve">Uzbekistan</w:t>
      </w:r>
      <w:r>
        <w:t xml:space="preserve"> </w:t>
      </w:r>
      <w:r>
        <w:t xml:space="preserve">Tashkent</w:t>
      </w:r>
      <w:r>
        <w:t xml:space="preserve"> </w:t>
      </w:r>
      <w:r>
        <w:t xml:space="preserve">Compliance</w:t>
      </w:r>
      <w:r>
        <w:t xml:space="preserve"> </w:t>
      </w:r>
      <w:r>
        <w:t xml:space="preserve">Analysis</w:t>
      </w:r>
    </w:p>
    <w:bookmarkStart w:id="20" w:name="Xa165e6d7c85e90c51779f436689dd049c3da0a0"/>
    <w:p>
      <w:pPr>
        <w:pStyle w:val="Heading1"/>
      </w:pPr>
      <w:r>
        <w:t xml:space="preserve">Auditor Lab Report: Comprehensive Compliance and Operational Analysis</w:t>
      </w:r>
    </w:p>
    <w:p>
      <w:pPr>
        <w:pStyle w:val="FirstParagraph"/>
      </w:pPr>
      <w:r>
        <w:rPr>
          <w:bCs/>
          <w:b/>
        </w:rPr>
        <w:t xml:space="preserve">Date:</w:t>
      </w:r>
      <w:r>
        <w:t xml:space="preserve"> </w:t>
      </w:r>
      <w:r>
        <w:t xml:space="preserve">October 24, 2023</w:t>
      </w:r>
    </w:p>
    <w:p>
      <w:pPr>
        <w:pStyle w:val="BodyText"/>
      </w:pPr>
      <w:r>
        <w:rPr>
          <w:bCs/>
          <w:b/>
        </w:rPr>
        <w:t xml:space="preserve">Jurisdiction:</w:t>
      </w:r>
      <w:r>
        <w:t xml:space="preserve">Tashkent, Uzbekistan</w:t>
      </w:r>
    </w:p>
    <w:p>
      <w:pPr>
        <w:pStyle w:val="BodyText"/>
      </w:pPr>
      <w:r>
        <w:rPr>
          <w:bCs/>
          <w:b/>
        </w:rPr>
        <w:t xml:space="preserve">Status:</w:t>
      </w:r>
    </w:p>
    <w:p>
      <w:pPr>
        <w:numPr>
          <w:ilvl w:val="0"/>
          <w:numId w:val="1001"/>
        </w:numPr>
        <w:pStyle w:val="Compact"/>
      </w:pPr>
      <w:r>
        <w:rPr>
          <w:bCs/>
          <w:b/>
        </w:rPr>
        <w:t xml:space="preserve">Auditor Name:</w:t>
      </w:r>
    </w:p>
    <w:p>
      <w:pPr>
        <w:numPr>
          <w:ilvl w:val="0"/>
          <w:numId w:val="1001"/>
        </w:numPr>
        <w:pStyle w:val="Compact"/>
      </w:pPr>
      <w:r>
        <w:t xml:space="preserve">Audit ID:TASH-2023-AUD-094</w:t>
      </w:r>
    </w:p>
    <w:p>
      <w:pPr>
        <w:numPr>
          <w:ilvl w:val="0"/>
          <w:numId w:val="1001"/>
        </w:numPr>
        <w:pStyle w:val="Compact"/>
      </w:pPr>
      <w:r>
        <w:t xml:space="preserve">Type of Audit:Risk Assessment and Regulatory Adherence Review</w:t>
      </w:r>
    </w:p>
    <w:bookmarkEnd w:id="20"/>
    <w:bookmarkStart w:id="21" w:name="executive-summary"/>
    <w:p>
      <w:pPr>
        <w:pStyle w:val="Heading2"/>
      </w:pPr>
      <w:r>
        <w:t xml:space="preserve">1. Executive Summary</w:t>
      </w:r>
    </w:p>
    <w:p>
      <w:pPr>
        <w:pStyle w:val="FirstParagraph"/>
      </w:pPr>
      <w:r>
        <w:t xml:space="preserve">This Auditor Lab Report provides a detailed examination of the current operational landscape, regulatory framework, and risk management strategies within the context of Uzbekistan Tashkent. The primary objective of this audit is to ensure that local operations align with both national legislation from Uzbekistan and international best practices for corporate governance. The findings presented herein are critical for stakeholders who require assurance regarding the integrity of financial reporting, operational efficiency, and legal compliance in the capital city region.</w:t>
      </w:r>
    </w:p>
    <w:p>
      <w:pPr>
        <w:pStyle w:val="BodyText"/>
      </w:pPr>
      <w:r>
        <w:t xml:space="preserve">The scope of this Auditor Lab Report encompasses a thorough review of internal controls, tax compliance structures, and anti-money laundering (AML) protocols. As Uzbekistan Tashkent continues to emerge as a pivotal economic hub in Central Asia with ongoing market liberalization reforms, the role of the Auditor has become increasingly complex and vital. This document serves as the definitive record of our findings, highlighting areas of strength and identifying specific gaps that require immediate remediation.</w:t>
      </w:r>
    </w:p>
    <w:bookmarkEnd w:id="21"/>
    <w:bookmarkStart w:id="24" w:name="introduction-and-background"/>
    <w:p>
      <w:pPr>
        <w:pStyle w:val="Heading2"/>
      </w:pPr>
      <w:r>
        <w:t xml:space="preserve">2. Introduction and Background</w:t>
      </w:r>
    </w:p>
    <w:bookmarkStart w:id="22" w:name="context-of-uzbekistan-tashkent"/>
    <w:p>
      <w:pPr>
        <w:pStyle w:val="Heading3"/>
      </w:pPr>
      <w:r>
        <w:t xml:space="preserve">2.1 Context of Uzbekistan Tashkent</w:t>
      </w:r>
    </w:p>
    <w:p>
      <w:pPr>
        <w:pStyle w:val="FirstParagraph"/>
      </w:pPr>
      <w:r>
        <w:t xml:space="preserve">Tashkent, as the capital of Uzbekistan, represents the economic and cultural heart of the nation. In recent years, the government has implemented significant economic reforms aimed at attracting foreign direct investment (FDI) and modernizing local industries. These reforms have necessitated a robust auditing framework to maintain transparency and trust among international partners. For any Auditor conducting business in this region, understanding the unique socio-economic dynamics of Uzbekistan Tashkent is paramount.</w:t>
      </w:r>
    </w:p>
    <w:p>
      <w:pPr>
        <w:pStyle w:val="BodyText"/>
      </w:pPr>
      <w:r>
        <w:t xml:space="preserve">The regulatory environment in Uzbekistan Tashkent has evolved rapidly. The adoption of new tax codes and stricter enforcement mechanisms requires entities to adapt their internal processes accordingly. This Lab Report is situated within that transitional period, documenting the shift from traditional Soviet-era accounting methods to international financial reporting standards (IFRS).</w:t>
      </w:r>
    </w:p>
    <w:bookmarkEnd w:id="22"/>
    <w:bookmarkStart w:id="23" w:name="role-of-the-auditor"/>
    <w:p>
      <w:pPr>
        <w:pStyle w:val="Heading3"/>
      </w:pPr>
      <w:r>
        <w:t xml:space="preserve">2.2 Role of the Auditor</w:t>
      </w:r>
    </w:p>
    <w:p>
      <w:pPr>
        <w:pStyle w:val="FirstParagraph"/>
      </w:pPr>
      <w:r>
        <w:t xml:space="preserve">In this context, the Auditor acts not merely as a checker of numbers but as a strategic advisor ensuring compliance and operational resilience. The responsibilities include evaluating the effectiveness of internal control systems, verifying the accuracy of financial statements, and assessing risks related to fraud and error. The credibility of the Uzbekistan Tashkent market relies heavily on rigorous auditing practices that protect investors and consumers alike.</w:t>
      </w:r>
    </w:p>
    <w:bookmarkEnd w:id="23"/>
    <w:bookmarkEnd w:id="24"/>
    <w:bookmarkStart w:id="25" w:name="methodology"/>
    <w:p>
      <w:pPr>
        <w:pStyle w:val="Heading2"/>
      </w:pPr>
      <w:r>
        <w:t xml:space="preserve">3. Methodology</w:t>
      </w:r>
    </w:p>
    <w:p>
      <w:pPr>
        <w:pStyle w:val="FirstParagraph"/>
      </w:pPr>
      <w:r>
        <w:t xml:space="preserve">To compile this Auditor Lab Report, a mixed-methods approach was employed. The methodology included:</w:t>
      </w:r>
    </w:p>
    <w:p>
      <w:pPr>
        <w:numPr>
          <w:ilvl w:val="0"/>
          <w:numId w:val="1002"/>
        </w:numPr>
        <w:pStyle w:val="Compact"/>
      </w:pPr>
      <w:r>
        <w:t xml:space="preserve">Data Collection:Audit teams gathered quantitative data from financial ledgers, tax filings, and operational records across three major sectors in Uzbekistan Tashkent: manufacturing, retail, and technology services.</w:t>
      </w:r>
    </w:p>
    <w:p>
      <w:pPr>
        <w:numPr>
          <w:ilvl w:val="0"/>
          <w:numId w:val="1002"/>
        </w:numPr>
        <w:pStyle w:val="Compact"/>
      </w:pPr>
      <w:r>
        <w:t xml:space="preserve">Interviews:Semi-structured interviews were conducted with key management personnel to understand the qualitative aspects of internal control culture.</w:t>
      </w:r>
    </w:p>
    <w:p>
      <w:pPr>
        <w:numPr>
          <w:ilvl w:val="0"/>
          <w:numId w:val="1002"/>
        </w:numPr>
        <w:pStyle w:val="Compact"/>
      </w:pPr>
      <w:r>
        <w:t xml:space="preserve">Document Review:All relevant legal documents, including licenses and permits issued by Uzbekistan Tashkent authorities, were reviewed for compliance status.</w:t>
      </w:r>
    </w:p>
    <w:p>
      <w:pPr>
        <w:numPr>
          <w:ilvl w:val="0"/>
          <w:numId w:val="1002"/>
        </w:numPr>
        <w:pStyle w:val="Compact"/>
      </w:pPr>
      <w:r>
        <w:t xml:space="preserve">Risk Mapping:A comprehensive risk assessment matrix was developed to identify potential vulnerabilities in the audit trail.</w:t>
      </w:r>
    </w:p>
    <w:p>
      <w:pPr>
        <w:pStyle w:val="FirstParagraph"/>
      </w:pPr>
      <w:r>
        <w:t xml:space="preserve">This rigorous methodology ensures that the findings within this Lab Report are both empirically grounded and contextually relevant to the specific challenges faced by entities in Uzbekistan Tashkent.</w:t>
      </w:r>
    </w:p>
    <w:bookmarkEnd w:id="25"/>
    <w:bookmarkStart w:id="29" w:name="findings-and-analysis"/>
    <w:p>
      <w:pPr>
        <w:pStyle w:val="Heading2"/>
      </w:pPr>
      <w:r>
        <w:t xml:space="preserve">4. Findings and Analysis</w:t>
      </w:r>
    </w:p>
    <w:bookmarkStart w:id="26" w:name="regulatory-compliance-status"/>
    <w:p>
      <w:pPr>
        <w:pStyle w:val="Heading3"/>
      </w:pPr>
      <w:r>
        <w:t xml:space="preserve">4.1 Regulatory Compliance Status</w:t>
      </w:r>
    </w:p>
    <w:p>
      <w:pPr>
        <w:pStyle w:val="FirstParagraph"/>
      </w:pPr>
      <w:r>
        <w:t xml:space="preserve">The analysis reveals that while large enterprises in Uzbekistan Tashkent are largely compliant with new international standards, small and medium-sized enterprises (SMEs) still face significant hurdles. The Auditor identified a gap in digital literacy among staff responsible for financial reporting, which hinders the adoption of automated auditing tools.</w:t>
      </w:r>
    </w:p>
    <w:bookmarkEnd w:id="26"/>
    <w:bookmarkStart w:id="27" w:name="internal-control-weaknesses"/>
    <w:p>
      <w:pPr>
        <w:pStyle w:val="Heading3"/>
      </w:pPr>
      <w:r>
        <w:t xml:space="preserve">4.2 Internal Control Weaknesses</w:t>
      </w:r>
    </w:p>
    <w:p>
      <w:pPr>
        <w:pStyle w:val="FirstParagraph"/>
      </w:pPr>
      <w:r>
        <w:t xml:space="preserve">A critical finding noted in this Auditor Lab Report is the inconsistency in segregation of duties within certain departments. In several sampled entities, the same individual was found to handle both procurement and payment authorization, creating a high risk for potential misappropriation of assets. This is particularly concerning given the rapid expansion of trade within Uzbekistan Tashkent.</w:t>
      </w:r>
    </w:p>
    <w:bookmarkEnd w:id="27"/>
    <w:bookmarkStart w:id="28" w:name="tax-compliance"/>
    <w:p>
      <w:pPr>
        <w:pStyle w:val="Heading3"/>
      </w:pPr>
      <w:r>
        <w:t xml:space="preserve">4.3 Tax Compliance</w:t>
      </w:r>
    </w:p>
    <w:p>
      <w:pPr>
        <w:pStyle w:val="FirstParagraph"/>
      </w:pPr>
      <w:r>
        <w:t xml:space="preserve">Tax audits conducted as part of this Lab Report indicated improved adherence to VAT regulations in the tech sector, attributed to recent digitalization efforts by the State Tax Committee in Uzbekistan Tashkent. However, cash-based transactions remain a challenge for transparency.</w:t>
      </w:r>
    </w:p>
    <w:bookmarkEnd w:id="28"/>
    <w:bookmarkEnd w:id="29"/>
    <w:bookmarkStart w:id="30" w:name="recommendations"/>
    <w:p>
      <w:pPr>
        <w:pStyle w:val="Heading2"/>
      </w:pPr>
      <w:r>
        <w:t xml:space="preserve">5. Recommendations</w:t>
      </w:r>
    </w:p>
    <w:p>
      <w:pPr>
        <w:pStyle w:val="FirstParagraph"/>
      </w:pPr>
      <w:r>
        <w:t xml:space="preserve">Based on the findings detailed above, the Auditor proposes the following actionable recommendations for entities operating in Uzbekistan Tashkent:</w:t>
      </w:r>
    </w:p>
    <w:p>
      <w:pPr>
        <w:numPr>
          <w:ilvl w:val="0"/>
          <w:numId w:val="1003"/>
        </w:numPr>
        <w:pStyle w:val="Compact"/>
      </w:pPr>
      <w:r>
        <w:t xml:space="preserve">Digital Transformation:Invest in ERP systems that integrate auditing features to reduce human error.</w:t>
      </w:r>
    </w:p>
    <w:p>
      <w:pPr>
        <w:numPr>
          <w:ilvl w:val="0"/>
          <w:numId w:val="1003"/>
        </w:numPr>
        <w:pStyle w:val="Compact"/>
      </w:pPr>
      <w:r>
        <w:t xml:space="preserve">Training Programs:Implement mandatory training for staff on IFRS and local tax laws specific to Uzbekistan Tashkent.</w:t>
      </w:r>
    </w:p>
    <w:p>
      <w:pPr>
        <w:numPr>
          <w:ilvl w:val="0"/>
          <w:numId w:val="1003"/>
        </w:numPr>
        <w:pStyle w:val="Compact"/>
      </w:pPr>
      <w:r>
        <w:t xml:space="preserve">Strengthen Internal Controls:Redefine job roles to ensure strict segregation of duties, particularly in finance and procurement.</w:t>
      </w:r>
    </w:p>
    <w:p>
      <w:pPr>
        <w:numPr>
          <w:ilvl w:val="0"/>
          <w:numId w:val="1003"/>
        </w:numPr>
        <w:pStyle w:val="Compact"/>
      </w:pPr>
      <w:r>
        <w:t xml:space="preserve">Risk Management Framework:Develop a dynamic risk management plan that adapts to the changing regulatory landscape of Uzbekistan Tashkent.</w:t>
      </w:r>
    </w:p>
    <w:bookmarkEnd w:id="30"/>
    <w:bookmarkStart w:id="31" w:name="conclusion"/>
    <w:p>
      <w:pPr>
        <w:pStyle w:val="Heading2"/>
      </w:pPr>
      <w:r>
        <w:t xml:space="preserve">6. Conclusion</w:t>
      </w:r>
    </w:p>
    <w:p>
      <w:pPr>
        <w:pStyle w:val="FirstParagraph"/>
      </w:pPr>
      <w:r>
        <w:t xml:space="preserve">This Auditor Lab Report underscores the critical importance of maintaining high standards of accountability and transparency in Uzbekistan Tashkent. As the region continues to integrate into the global economy, the role of professional auditing cannot be overstated. The findings presented herein serve as a roadmap for improvement, ensuring that businesses not only survive but thrive in this dynamic environment.</w:t>
      </w:r>
    </w:p>
    <w:p>
      <w:pPr>
        <w:pStyle w:val="BodyText"/>
      </w:pPr>
      <w:r>
        <w:t xml:space="preserve">The Auditor remains committed to supporting organizations in their journey toward compliance and excellence. By addressing the identified gaps and implementing the recommended strategies, entities can enhance their reputation and operational efficiency within Uzbekistan Tashkent.</w:t>
      </w:r>
    </w:p>
    <w:p>
      <w:pPr>
        <w:pStyle w:val="BodyText"/>
      </w:pPr>
      <w:r>
        <w:rPr>
          <w:iCs/>
          <w:i/>
        </w:rPr>
        <w:t xml:space="preserve">This document is confidential and intended solely for use by the authorized recipients of this Auditor Lab Report regarding operations in Uzbekistan Tashkent. Unauthorized reproduction or distribution is strictly prohibited.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Lab Report: Uzbekistan Tashkent Compliance Analysis</dc:title>
  <dc:creator/>
  <dc:language>en</dc:language>
  <cp:keywords/>
  <dcterms:created xsi:type="dcterms:W3CDTF">2026-07-29T18:19:28Z</dcterms:created>
  <dcterms:modified xsi:type="dcterms:W3CDTF">2026-07-29T18:19:28Z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