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Los</w:t>
      </w:r>
      <w:r>
        <w:t xml:space="preserve"> </w:t>
      </w:r>
      <w:r>
        <w:t xml:space="preserve">Angeles</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t xml:space="preserve">Prepared by: Senior Automotive Engineer</w:t>
      </w:r>
      <w:r>
        <w:br/>
      </w:r>
      <w:r>
        <w:t xml:space="preserve">Document ID: LAB-AUTO-LA-2023-089</w:t>
      </w:r>
    </w:p>
    <w:bookmarkEnd w:id="20"/>
    <w:bookmarkStart w:id="21" w:name="abstract"/>
    <w:p>
      <w:pPr>
        <w:pStyle w:val="Heading2"/>
      </w:pPr>
      <w:r>
        <w:t xml:space="preserve">Abstract</w:t>
      </w:r>
    </w:p>
    <w:p>
      <w:pPr>
        <w:pStyle w:val="FirstParagraph"/>
      </w:pPr>
      <w:r>
        <w:t xml:space="preserve">This document serves as a comprehensive Lab Report detailing the structural integrity and emissions analysis of a prototype hybrid vehicle chassis developed by our engineering team. The primary objective was to assess compliance with California Air Resources Board (CARB) standards while ensuring passenger safety under typical United States driving conditions, specifically within the congested urban environment of Los Angeles. The findings indicate that the new composite material framework reduces weight by 15% without compromising crashworthiness, thereby improving fuel efficiency in stop-and-go traffic scenarios prevalent in this region.</w:t>
      </w:r>
    </w:p>
    <w:bookmarkEnd w:id="21"/>
    <w:bookmarkStart w:id="22" w:name="introduction"/>
    <w:p>
      <w:pPr>
        <w:pStyle w:val="Heading2"/>
      </w:pPr>
      <w:r>
        <w:t xml:space="preserve">1. Introduction</w:t>
      </w:r>
    </w:p>
    <w:p>
      <w:pPr>
        <w:pStyle w:val="FirstParagraph"/>
      </w:pPr>
      <w:r>
        <w:t xml:space="preserve">The role of an Automotive Engineer extends beyond mere design; it involves rigorous testing and validation to ensure that vehicles meet both safety regulations and environmental sustainability goals. In the context of the United States, particularly in major metropolitan hubs like Los Angeles, the demands placed on vehicle engineering are unique. The dense population, heavy reliance on personal transportation, and strict emission laws create a specific set of challenges for engineers.</w:t>
      </w:r>
    </w:p>
    <w:p>
      <w:pPr>
        <w:pStyle w:val="BodyText"/>
      </w:pPr>
      <w:r>
        <w:t xml:space="preserve">This Lab Report outlines the experimental procedures conducted to evaluate a new lightweight alloy used in suspension components. The study aims to determine if this material can withstand the thermal stresses associated with frequent braking in urban traffic while maintaining dimensional stability over time. As an Automotive Engineer, it is crucial to balance performance metrics with regulatory compliance, ensuring that every component contributes to a safer and cleaner driving experience for residents of Los Angeles.</w:t>
      </w:r>
    </w:p>
    <w:bookmarkEnd w:id="22"/>
    <w:bookmarkStart w:id="23" w:name="objectives"/>
    <w:p>
      <w:pPr>
        <w:pStyle w:val="Heading2"/>
      </w:pPr>
      <w:r>
        <w:t xml:space="preserve">2. Objectives</w:t>
      </w:r>
    </w:p>
    <w:p>
      <w:pPr>
        <w:pStyle w:val="FirstParagraph"/>
      </w:pPr>
      <w:r>
        <w:t xml:space="preserve">To evaluate the tensile strength and thermal resistance of the proposed aluminum-silicon alloy suspension arm.</w:t>
      </w:r>
    </w:p>
    <w:p>
      <w:pPr>
        <w:pStyle w:val="BodyText"/>
      </w:pPr>
      <w:r>
        <w:t xml:space="preserve">To simulate five years of wear-and-tear consistent with Los Angeles traffic patterns, including high-frequency braking events.</w:t>
      </w:r>
    </w:p>
    <w:p>
      <w:pPr>
        <w:pStyle w:val="BodyText"/>
      </w:pPr>
      <w:r>
        <w:t xml:space="preserve">To verify that the component meets Federal Motor Vehicle Safety Standards (FMVSS) applicable in the United States.</w:t>
      </w:r>
    </w:p>
    <w:p>
      <w:pPr>
        <w:pStyle w:val="BodyText"/>
      </w:pPr>
      <w:r>
        <w:t xml:space="preserve">Metric</w:t>
      </w:r>
    </w:p>
    <w:p>
      <w:pPr>
        <w:pStyle w:val="BodyText"/>
      </w:pPr>
      <w:r>
        <w:t xml:space="preserve">Target Value</w:t>
      </w:r>
    </w:p>
    <w:p>
      <w:pPr>
        <w:pStyle w:val="BodyText"/>
      </w:pPr>
      <w:r>
        <w:t xml:space="preserve">Tensile Strength</w:t>
      </w:r>
    </w:p>
    <w:p>
      <w:pPr>
        <w:pStyle w:val="BodyText"/>
      </w:pPr>
      <w:r>
        <w:t xml:space="preserve">450 MPa</w:t>
      </w:r>
      <w:r>
        <w:t xml:space="preserve"> </w:t>
      </w:r>
      <w:r>
        <w:t xml:space="preserve">&lt; ; / table&gt;</w:t>
      </w:r>
      <w:r>
        <w:t xml:space="preserve"> </w:t>
      </w:r>
      <w:r>
        <w:t xml:space="preserve">&lt; ; h3&gt; 3.2 Materials and Equipment&lt;/h3&gt;</w:t>
      </w:r>
      <w:r>
        <w:t xml:space="preserve"> </w:t>
      </w:r>
      <w:r>
        <w:t xml:space="preserve">The lab equipment utilized included a universal testing machine (Instron model), thermal imaging cameras, and computational fluid dynamics (CFD) software. All materials were sourced locally within the Los Angeles supply chain to minimize logistical carbon footprints, aligning with sustainable engineering practices.</w:t>
      </w:r>
    </w:p>
    <w:bookmarkEnd w:id="23"/>
    <w:bookmarkStart w:id="27" w:name="methodology"/>
    <w:p>
      <w:pPr>
        <w:pStyle w:val="Heading2"/>
      </w:pPr>
      <w:r>
        <w:t xml:space="preserve">4. Methodology</w:t>
      </w:r>
    </w:p>
    <w:p>
      <w:pPr>
        <w:pStyle w:val="FirstParagraph"/>
      </w:pPr>
      <w:r>
        <w:t xml:space="preserve">The testing protocol involved three distinct phases: static load testing, dynamic thermal cycling, and long-term fatigue analysis.</w:t>
      </w:r>
    </w:p>
    <w:bookmarkStart w:id="24" w:name="static-load-testing"/>
    <w:p>
      <w:pPr>
        <w:pStyle w:val="Heading3"/>
      </w:pPr>
      <w:r>
        <w:t xml:space="preserve">4.1 Static Load Testing</w:t>
      </w:r>
    </w:p>
    <w:p>
      <w:pPr>
        <w:pStyle w:val="FirstParagraph"/>
      </w:pPr>
      <w:r>
        <w:t xml:space="preserve">In this phase, the suspension arms were subjected to incremental loads up to 120% of the maximum expected operational force. This simulates extreme scenarios such as pothole impacts or rapid acceleration on steep inclines, which are common in hilly areas of Los Angeles like Hollywood Hills or Griffith Park.</w:t>
      </w:r>
    </w:p>
    <w:bookmarkEnd w:id="24"/>
    <w:bookmarkStart w:id="25" w:name="dynamic-thermal-cycling"/>
    <w:p>
      <w:pPr>
        <w:pStyle w:val="Heading3"/>
      </w:pPr>
      <w:r>
        <w:t xml:space="preserve">4.2 Dynamic Thermal Cycling</w:t>
      </w:r>
    </w:p>
    <w:p>
      <w:pPr>
        <w:pStyle w:val="FirstParagraph"/>
      </w:pPr>
      <w:r>
        <w:t xml:space="preserve">To replicate the stop-and-go nature of traffic on freeways such as the I-10 or the 405, components were subjected to repeated braking cycles. The temperature of the brake calipers and surrounding suspension parts was monitored using infrared thermography. The goal was to ensure that heat dissipation remained within safe limits, preventing brake fade and maintaining handling precision.</w:t>
      </w:r>
    </w:p>
    <w:bookmarkEnd w:id="25"/>
    <w:bookmarkStart w:id="26" w:name="fatigue-analysis"/>
    <w:p>
      <w:pPr>
        <w:pStyle w:val="Heading3"/>
      </w:pPr>
      <w:r>
        <w:t xml:space="preserve">4.3 Fatigue Analysis</w:t>
      </w:r>
    </w:p>
    <w:p>
      <w:pPr>
        <w:pStyle w:val="FirstParagraph"/>
      </w:pPr>
      <w:r>
        <w:t xml:space="preserve">A fatigue rig simulated 50,000 miles of driving over six months in a compressed timeframe. This acceleration testing allows Automotive Engineers to predict the lifespan of components without waiting for years of real-world data collection.</w:t>
      </w:r>
    </w:p>
    <w:bookmarkEnd w:id="26"/>
    <w:bookmarkEnd w:id="27"/>
    <w:bookmarkStart w:id="28" w:name="results"/>
    <w:p>
      <w:pPr>
        <w:pStyle w:val="Heading2"/>
      </w:pPr>
      <w:r>
        <w:t xml:space="preserve">5. Results</w:t>
      </w:r>
    </w:p>
    <w:p>
      <w:pPr>
        <w:pStyle w:val="FirstParagraph"/>
      </w:pPr>
      <w:r>
        <w:t xml:space="preserve">Metric</w:t>
      </w:r>
    </w:p>
    <w:p>
      <w:pPr>
        <w:pStyle w:val="BodyText"/>
      </w:pPr>
      <w:r>
        <w:t xml:space="preserve">Average Value</w:t>
      </w:r>
    </w:p>
    <w:p>
      <w:pPr>
        <w:pStyle w:val="BodyText"/>
      </w:pPr>
      <w:r>
        <w:t xml:space="preserve">Tolerance Limit</w:t>
      </w:r>
    </w:p>
    <w:p>
      <w:pPr>
        <w:pStyle w:val="BodyText"/>
      </w:pPr>
      <w:r>
        <w:t xml:space="preserve">&amp; lt ; tr &amp; gt;</w:t>
      </w:r>
      <w:r>
        <w:t xml:space="preserve"> </w:t>
      </w:r>
      <w:r>
        <w:t xml:space="preserve">&lt; ; td&gt;Yield Strength&lt;/td&gt;</w:t>
      </w:r>
      <w:r>
        <w:t xml:space="preserve"> </w:t>
      </w:r>
      <w:r>
        <w:t xml:space="preserve">&lt; td&gt; 465 MPa&lt; /td&gt;    </w:t>
      </w:r>
    </w:p>
    <w:p>
      <w:pPr>
        <w:pStyle w:val="BodyText"/>
      </w:pPr>
      <w:r>
        <w:t xml:space="preserve">Thermal Expansion Coefficient</w:t>
      </w:r>
    </w:p>
    <w:p>
      <w:pPr>
        <w:pStyle w:val="BodyText"/>
      </w:pPr>
      <w:r>
        <w:t xml:space="preserve">23.1 µm/m·K</w:t>
      </w:r>
    </w:p>
    <w:p>
      <w:pPr>
        <w:pStyle w:val="BodyText"/>
      </w:pPr>
      <w:r>
        <w:t xml:space="preserve">&lt; 25 µm/m·K</w:t>
      </w:r>
    </w:p>
    <w:p>
      <w:pPr>
        <w:pStyle w:val="BodyText"/>
      </w:pPr>
      <w:r>
        <w:t xml:space="preserve">Cycle Count at Failure</w:t>
      </w:r>
    </w:p>
    <w:p>
      <w:pPr>
        <w:pStyle w:val="BodyText"/>
      </w:pPr>
      <w:r>
        <w:t xml:space="preserve">1.2 x 10^6</w:t>
      </w:r>
    </w:p>
    <w:bookmarkEnd w:id="28"/>
    <w:bookmarkStart w:id="29" w:name="discussion"/>
    <w:p>
      <w:pPr>
        <w:pStyle w:val="Heading2"/>
      </w:pPr>
      <w:r>
        <w:t xml:space="preserve">6. Discussion</w:t>
      </w:r>
    </w:p>
    <w:p>
      <w:pPr>
        <w:pStyle w:val="FirstParagraph"/>
      </w:pPr>
      <w:r>
        <w:t xml:space="preserve">The data collected in this Lab Report highlights significant advantages for implementing the new alloy in vehicles destined for the United States market. The higher yield strength allows for thinner component designs, contributing to overall vehicle weight reduction. For an Automotive Engineer, this weight savings is critical; every kilogram reduced translates directly to improved fuel economy or extended range for electric vehicles.</w:t>
      </w:r>
    </w:p>
    <w:p>
      <w:pPr>
        <w:pStyle w:val="BodyText"/>
      </w:pPr>
      <w:r>
        <w:t xml:space="preserve">Moreover, the thermal performance data addresses a specific concern in Los Angeles. The region's average temperatures can exceed 90°F (32°C) during summer months, exacerbating heat-related degradation of mechanical parts. The superior heat dissipation observed in our tests suggests that this material will offer greater reliability and safety margins compared to traditional steel or aluminum alloys.</w:t>
      </w:r>
    </w:p>
    <w:p>
      <w:pPr>
        <w:pStyle w:val="BodyText"/>
      </w:pPr>
      <w:r>
        <w:t xml:space="preserve">Additionally, the fatigue life results indicate a robust lifespan. With an average American driver covering approximately 13,500 miles per year, the tested component is projected to last well beyond ten years of typical use in Los Angeles. This durability reduces warranty claims and enhances customer satisfaction, key metrics for any automotive manufacturer operating in this competitive market.</w:t>
      </w:r>
    </w:p>
    <w:bookmarkEnd w:id="29"/>
    <w:bookmarkStart w:id="30" w:name="conclusion"/>
    <w:p>
      <w:pPr>
        <w:pStyle w:val="Heading2"/>
      </w:pPr>
      <w:r>
        <w:t xml:space="preserve">7. Conclusion</w:t>
      </w:r>
    </w:p>
    <w:p>
      <w:pPr>
        <w:pStyle w:val="FirstParagraph"/>
      </w:pPr>
      <w:r>
        <w:t xml:space="preserve">In conclusion, the experimental analysis confirms that the proposed aluminum-silicon alloy suspension component is viable for mass production and deployment in vehicles operating within Los Angeles. The material successfully meets all structural and thermal requirements outlined in this Lab Report.</w:t>
      </w:r>
    </w:p>
    <w:p>
      <w:pPr>
        <w:pStyle w:val="BodyText"/>
      </w:pPr>
      <w:r>
        <w:t xml:space="preserve">For Automotive Engineers working in the United States, particularly in regions with diverse driving conditions like California, innovation must be grounded in rigorous empirical testing. This study underscores the importance of adapting engineering solutions to local environmental and infrastructural realities. By adopting these advanced materials, we not only enhance vehicle performance but also contribute to broader goals of sustainability and public safety.</w:t>
      </w:r>
    </w:p>
    <w:p>
      <w:pPr>
        <w:pStyle w:val="BodyText"/>
      </w:pPr>
      <w:r>
        <w:t xml:space="preserve">Further research is recommended to explore the recyclability of this alloy at end-of-life, ensuring that our engineering practices remain aligned with the evolving regulatory landscape in Los Angeles and beyond. As we continue to push the boundaries of automotive technology, detailed Lab Reports like this one serve as essential tools for validating design choices and ensuring that every vehicle leaving our facilities meets the highest standards of excellence.</w:t>
      </w:r>
    </w:p>
    <w:bookmarkEnd w:id="30"/>
    <w:bookmarkStart w:id="31" w:name="references"/>
    <w:p>
      <w:pPr>
        <w:pStyle w:val="Heading2"/>
      </w:pPr>
      <w:r>
        <w:t xml:space="preserve">8. References</w:t>
      </w:r>
    </w:p>
    <w:p>
      <w:pPr>
        <w:numPr>
          <w:ilvl w:val="0"/>
          <w:numId w:val="1001"/>
        </w:numPr>
        <w:pStyle w:val="Compact"/>
      </w:pPr>
      <w:r>
        <w:t xml:space="preserve">Federal Motor Vehicle Safety Standards (FMVSS), National Highway Traffic Safety Administration (NHTSA).</w:t>
      </w:r>
    </w:p>
    <w:p>
      <w:pPr>
        <w:numPr>
          <w:ilvl w:val="0"/>
          <w:numId w:val="1001"/>
        </w:numPr>
        <w:pStyle w:val="Compact"/>
      </w:pPr>
      <w:r>
        <w:t xml:space="preserve">"Urban Driving Dynamics and Emissions," California Air Resources Board, Los Angeles.</w:t>
      </w:r>
    </w:p>
    <w:p>
      <w:pPr>
        <w:numPr>
          <w:ilvl w:val="0"/>
          <w:numId w:val="1001"/>
        </w:numPr>
        <w:pStyle w:val="Compact"/>
      </w:pPr>
      <w:r>
        <w:t xml:space="preserve">"Advanced Materials in Automotive Engineering: A Comparative Study," Journal of Mechanical Design, 2023.</w:t>
      </w:r>
    </w:p>
    <w:p>
      <w:pPr>
        <w:pStyle w:val="FirstParagraph"/>
      </w:pPr>
      <w:r>
        <w:t xml:space="preserve">&lt; ; / body&gt;</w:t>
      </w:r>
      <w:r>
        <w:t xml:space="preserve"> </w:t>
      </w:r>
      <w:r>
        <w:t xml:space="preserve">&lt; ; / html&gt;</w:t>
      </w:r>
      <w:r>
        <w:t xml:space="preserve"> </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 Los Angeles</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