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Lab</w:t>
      </w:r>
      <w:r>
        <w:t xml:space="preserve"> </w:t>
      </w:r>
      <w:r>
        <w:t xml:space="preserve">Report:</w:t>
      </w:r>
      <w:r>
        <w:t xml:space="preserve"> </w:t>
      </w:r>
      <w:r>
        <w:t xml:space="preserve">United</w:t>
      </w:r>
      <w:r>
        <w:t xml:space="preserve"> </w:t>
      </w:r>
      <w:r>
        <w:t xml:space="preserve">Kingdom</w:t>
      </w:r>
      <w:r>
        <w:t xml:space="preserve"> </w:t>
      </w:r>
      <w:r>
        <w:t xml:space="preserve">Manchester</w:t>
      </w:r>
    </w:p>
    <w:bookmarkStart w:id="30" w:name="X6301bd94ac06a434efed2bad2c3f50435a54e40"/>
    <w:p>
      <w:pPr>
        <w:pStyle w:val="Heading1"/>
      </w:pPr>
      <w:r>
        <w:t xml:space="preserve">Clinical Laboratory Report: Diagnostic Analysis of Baker’s Cyst Pathology</w:t>
      </w:r>
    </w:p>
    <w:p>
      <w:pPr>
        <w:pStyle w:val="FirstParagraph"/>
      </w:pPr>
      <w:r>
        <w:rPr>
          <w:bCs/>
          <w:b/>
        </w:rPr>
        <w:t xml:space="preserve">Patient Name:</w:t>
      </w:r>
      <w:r>
        <w:br/>
      </w:r>
      <w:r>
        <w:t xml:space="preserve">[Patient Name Redacted]</w:t>
      </w:r>
      <w:r>
        <w:br/>
      </w:r>
      <w:r>
        <w:rPr>
          <w:bCs/>
          <w:b/>
        </w:rPr>
        <w:t xml:space="preserve">Date of Birth:</w:t>
      </w:r>
      <w:r>
        <w:br/>
      </w:r>
      <w:r>
        <w:t xml:space="preserve">1975-04-12</w:t>
      </w:r>
      <w:r>
        <w:br/>
      </w:r>
      <w:r>
        <w:rPr>
          <w:bCs/>
          <w:b/>
        </w:rPr>
        <w:t xml:space="preserve">NHS Number:</w:t>
      </w:r>
      <w:r>
        <w:br/>
      </w:r>
      <w:r>
        <w:t xml:space="preserve">MCH-8842-XK</w:t>
      </w:r>
    </w:p>
    <w:p>
      <w:pPr>
        <w:pStyle w:val="BodyText"/>
      </w:pPr>
      <w:r>
        <w:rPr>
          <w:bCs/>
          <w:b/>
        </w:rPr>
        <w:t xml:space="preserve">Date of Report:</w:t>
      </w:r>
      <w:r>
        <w:br/>
      </w:r>
      <w:r>
        <w:t xml:space="preserve">October 26, 2023</w:t>
      </w:r>
      <w:r>
        <w:br/>
      </w:r>
      <w:r>
        <w:rPr>
          <w:bCs/>
          <w:b/>
        </w:rPr>
        <w:t xml:space="preserve">Laboratory:</w:t>
      </w:r>
      <w:r>
        <w:br/>
      </w:r>
      <w:r>
        <w:t xml:space="preserve">Radiology &amp; Musculoskeletal Unit</w:t>
      </w:r>
      <w:r>
        <w:br/>
      </w:r>
      <w:r>
        <w:rPr>
          <w:bCs/>
          <w:b/>
        </w:rPr>
        <w:t xml:space="preserve">Location:</w:t>
      </w:r>
      <w:r>
        <w:br/>
      </w:r>
      <w:r>
        <w:t xml:space="preserve">The Christie NHS Foundation Trust, United Kingdom Manchester</w:t>
      </w:r>
    </w:p>
    <w:bookmarkStart w:id="20" w:name="executive-summary"/>
    <w:p>
      <w:pPr>
        <w:pStyle w:val="Heading2"/>
      </w:pPr>
      <w:r>
        <w:t xml:space="preserve">1. Executive Summary</w:t>
      </w:r>
    </w:p>
    <w:p>
      <w:pPr>
        <w:pStyle w:val="FirstParagraph"/>
      </w:pPr>
      <w:r>
        <w:t xml:space="preserve">This document serves as the official clinical laboratory report regarding the diagnostic assessment of a suspected Baker’s cyst (popliteal cyst) in a patient presenting with posterior knee pain and swelling. The investigation was conducted within the specialized musculoskeletal imaging facilities located in United Kingdom Manchester, specifically at our partner facility near Manchester Royal Infirmary. The primary objective was to confirm the presence of fluid accumulation behind the knee, differentiate between simple synovial cysts and complex masses such as sarcomas or thrombotic events, and evaluate underlying intra-articular pathology that may be contributing to increased joint pressure.</w:t>
      </w:r>
    </w:p>
    <w:p>
      <w:pPr>
        <w:pStyle w:val="BodyText"/>
      </w:pPr>
      <w:r>
        <w:t xml:space="preserve">In the context of healthcare delivery in United Kingdom Manchester, particularly within the National Health Service framework, accurate diagnosis is paramount for determining the appropriate pathway of care. Baker’s cysts are rarely idiopathic; they are frequently secondary manifestations of intra-articular derangement. Therefore, this report details not only the characteristics of Baker’s cyst itself but also correlates these findings with concurrent observations regarding meniscal integrity and synovial health.</w:t>
      </w:r>
    </w:p>
    <w:bookmarkEnd w:id="20"/>
    <w:bookmarkStart w:id="21" w:name="X191a67e918d9087ce74f8b72ef568cd7ba97ca1"/>
    <w:p>
      <w:pPr>
        <w:pStyle w:val="Heading2"/>
      </w:pPr>
      <w:r>
        <w:t xml:space="preserve">2. Patient History and Clinical Presentation</w:t>
      </w:r>
    </w:p>
    <w:p>
      <w:pPr>
        <w:pStyle w:val="FirstParagraph"/>
      </w:pPr>
      <w:r>
        <w:t xml:space="preserve">The patient is a 48-year-old male who presented to the orthopedic clinic in United Kingdom Manchester with complaints of stiffness, a sensation of tightness behind the right knee, and mild swelling. The onset of symptoms was gradual over several weeks but exacerbated after participating in recreational football activities. There was no history of acute trauma, though there is a significant past medical history suggestive of osteoarthritis.</w:t>
      </w:r>
    </w:p>
    <w:p>
      <w:pPr>
        <w:pStyle w:val="BodyText"/>
      </w:pPr>
      <w:r>
        <w:t xml:space="preserve">Prior to this laboratory assessment, the patient underwent a preliminary ultrasound examination at an outpatient clinic in Manchester. The initial sonographic evidence suggested a cystic structure measuring approximately 45mm in length within the popliteal fossa. Given the size and the patient’s occupational requirements as a logistics coordinator requiring frequent standing, further characterization via Magnetic Resonance Imaging (MRI) was requested to rule out complications such as rupture or deep vein thrombosis (DVT), which are critical differential diagnoses in this anatomical region.</w:t>
      </w:r>
    </w:p>
    <w:bookmarkEnd w:id="21"/>
    <w:bookmarkStart w:id="22" w:name="X1ef800e50ecca0679deb1e4f0913d1a11ccf649"/>
    <w:p>
      <w:pPr>
        <w:pStyle w:val="Heading2"/>
      </w:pPr>
      <w:r>
        <w:t xml:space="preserve">3. Methodology: Laboratory and Imaging Protocols</w:t>
      </w:r>
    </w:p>
    <w:p>
      <w:pPr>
        <w:pStyle w:val="FirstParagraph"/>
      </w:pPr>
      <w:r>
        <w:t xml:space="preserve">To ensure the highest standard of diagnostic accuracy, consistent with protocols upheld by radiological institutions across United Kingdom Manchester, the following methodology was employed:</w:t>
      </w:r>
    </w:p>
    <w:p>
      <w:pPr>
        <w:numPr>
          <w:ilvl w:val="0"/>
          <w:numId w:val="1001"/>
        </w:numPr>
        <w:pStyle w:val="Compact"/>
      </w:pPr>
      <w:r>
        <w:rPr>
          <w:bCs/>
          <w:b/>
        </w:rPr>
        <w:t xml:space="preserve">Magnetic Resonance Imaging (MRI):</w:t>
      </w:r>
      <w:r>
        <w:t xml:space="preserve"> </w:t>
      </w:r>
      <w:r>
        <w:t xml:space="preserve">A 3-Tesla MRI scanner was utilized to obtain high-resolution T1-weighted and T2-weighted images of the knee joint. This modality allows for superior soft tissue contrast, essential for delineating the boundaries of a Baker’s cyst from surrounding neurovascular structures.</w:t>
      </w:r>
    </w:p>
    <w:p>
      <w:pPr>
        <w:numPr>
          <w:ilvl w:val="0"/>
          <w:numId w:val="1001"/>
        </w:numPr>
        <w:pStyle w:val="Compact"/>
      </w:pPr>
      <w:r>
        <w:rPr>
          <w:bCs/>
          <w:b/>
        </w:rPr>
        <w:t xml:space="preserve">Sonographic Correlation:</w:t>
      </w:r>
      <w:r>
        <w:t xml:space="preserve"> </w:t>
      </w:r>
      <w:r>
        <w:t xml:space="preserve">High-frequency ultrasound was performed by a certified sonographer to assess fluid dynamics and check for compressibility, aiding in the exclusion of vascular anomalies.</w:t>
      </w:r>
    </w:p>
    <w:p>
      <w:pPr>
        <w:numPr>
          <w:ilvl w:val="0"/>
          <w:numId w:val="1001"/>
        </w:numPr>
        <w:pStyle w:val="Compact"/>
      </w:pPr>
      <w:r>
        <w:rPr>
          <w:bCs/>
          <w:b/>
        </w:rPr>
        <w:t xml:space="preserve">Biochemical Analysis (If Aspiration Performed):</w:t>
      </w:r>
      <w:r>
        <w:t xml:space="preserve"> </w:t>
      </w:r>
      <w:r>
        <w:t xml:space="preserve">While aspiration was not immediately indicated due to the lack of acute inflammatory signs, synovial fluid analysis protocols were reviewed. In cases where fluid extraction occurs in Manchester labs, standard parameters include cell count, crystal analysis for gout or pseudogout, and culture for infectious agents.</w:t>
      </w:r>
    </w:p>
    <w:bookmarkEnd w:id="22"/>
    <w:bookmarkStart w:id="26" w:name="diagnostic-findings"/>
    <w:p>
      <w:pPr>
        <w:pStyle w:val="Heading2"/>
      </w:pPr>
      <w:r>
        <w:t xml:space="preserve">4. Diagnostic Findings</w:t>
      </w:r>
    </w:p>
    <w:bookmarkStart w:id="23" w:name="morphology-of-the-bakers-cyst"/>
    <w:p>
      <w:pPr>
        <w:pStyle w:val="Heading3"/>
      </w:pPr>
      <w:r>
        <w:t xml:space="preserve">4.1 Morphology of the Baker’s Cyst</w:t>
      </w:r>
    </w:p>
    <w:p>
      <w:pPr>
        <w:pStyle w:val="FirstParagraph"/>
      </w:pPr>
      <w:r>
        <w:t xml:space="preserve">The MRI findings confirm the presence of a well-defined, fluid-filled structure located between the medial head of the gastrocnemius and the semimembranosus tendon, characteristic anatomical positioning for a Baker’s cyst. The cyst measures 42mm x 18mm x 50mm (anteroposterior x transverse x craniocaudal dimensions). On T2-weighted sequences, the content exhibits high signal intensity consistent with simple serous fluid.</w:t>
      </w:r>
    </w:p>
    <w:p>
      <w:pPr>
        <w:pStyle w:val="BodyText"/>
      </w:pPr>
      <w:r>
        <w:t xml:space="preserve">Crucially, there is no evidence of internal septations or solid nodular components within the Baker’s cyst. The absence of solid elements significantly reduces the likelihood of a neoplastic process such as a popliteal sarcoma, which is a vital distinction to make in laboratory diagnostics.</w:t>
      </w:r>
    </w:p>
    <w:bookmarkEnd w:id="23"/>
    <w:bookmarkStart w:id="24" w:name="communication-with-joint-space"/>
    <w:p>
      <w:pPr>
        <w:pStyle w:val="Heading3"/>
      </w:pPr>
      <w:r>
        <w:t xml:space="preserve">4.2 Communication with Joint Space</w:t>
      </w:r>
    </w:p>
    <w:p>
      <w:pPr>
        <w:pStyle w:val="FirstParagraph"/>
      </w:pPr>
      <w:r>
        <w:t xml:space="preserve">A distinct communication channel was observed between the posterior joint capsule and the Baker’s cyst. This "valve-like" mechanism allows synovial fluid to be pushed into the cyst during knee extension but prevents it from returning, leading to gradual expansion of the Baker’s cyst. This finding supports the hypothesis that elevated intra-articular pressure is driving fluid accumulation.</w:t>
      </w:r>
    </w:p>
    <w:bookmarkEnd w:id="24"/>
    <w:bookmarkStart w:id="25" w:name="associated-intra-articular-pathology"/>
    <w:p>
      <w:pPr>
        <w:pStyle w:val="Heading3"/>
      </w:pPr>
      <w:r>
        <w:t xml:space="preserve">4.3 Associated Intra-Articular Pathology</w:t>
      </w:r>
    </w:p>
    <w:p>
      <w:pPr>
        <w:pStyle w:val="FirstParagraph"/>
      </w:pPr>
      <w:r>
        <w:t xml:space="preserve">In alignment with typical presentations observed in Manchester clinics treating degenerative joint conditions, significant pathology was identified within the knee joint itself:</w:t>
      </w:r>
    </w:p>
    <w:p>
      <w:pPr>
        <w:numPr>
          <w:ilvl w:val="0"/>
          <w:numId w:val="1002"/>
        </w:numPr>
        <w:pStyle w:val="Compact"/>
      </w:pPr>
      <w:r>
        <w:rPr>
          <w:bCs/>
          <w:b/>
        </w:rPr>
        <w:t xml:space="preserve">Mensical Tear:</w:t>
      </w:r>
      <w:r>
        <w:t xml:space="preserve">A horizontal tear of the posterior horn of the medial meniscus was visualized. This mechanical disruption is a common source of chronic irritation leading to increased synovial fluid production.</w:t>
      </w:r>
    </w:p>
    <w:p>
      <w:pPr>
        <w:numPr>
          <w:ilvl w:val="0"/>
          <w:numId w:val="1002"/>
        </w:numPr>
        <w:pStyle w:val="Compact"/>
      </w:pPr>
      <w:r>
        <w:rPr>
          <w:bCs/>
          <w:b/>
        </w:rPr>
        <w:t xml:space="preserve">Synovitis:</w:t>
      </w:r>
      <w:r>
        <w:t xml:space="preserve">Diffuse thickening and enhancement of the synovium were noted, indicative active inflammation (synovitis). This inflammatory state contributes directly to the hypersecretion of fluid that feeds the Baker’s cyst.</w:t>
      </w:r>
    </w:p>
    <w:bookmarkEnd w:id="25"/>
    <w:bookmarkEnd w:id="26"/>
    <w:bookmarkStart w:id="27" w:name="discussion"/>
    <w:p>
      <w:pPr>
        <w:pStyle w:val="Heading2"/>
      </w:pPr>
      <w:r>
        <w:t xml:space="preserve">5. Discussion</w:t>
      </w:r>
    </w:p>
    <w:p>
      <w:pPr>
        <w:pStyle w:val="FirstParagraph"/>
      </w:pPr>
      <w:r>
        <w:t xml:space="preserve">The diagnosis established in this report confirms a symptomatic Baker’s cyst secondary to medial meniscal pathology and mild osteoarthritis. It is imperative for clinicians managing patients in United Kingdom Manchester to recognize that treating the Baker’s cyst in isolation is often insufficient. The primary driver of the condition is the intra-articular disease process.</w:t>
      </w:r>
    </w:p>
    <w:p>
      <w:pPr>
        <w:pStyle w:val="BodyText"/>
      </w:pPr>
      <w:r>
        <w:t xml:space="preserve">The differential diagnosis included deep vein thrombosis (DVT). While clinical examination revealed slight calf tenderness, Doppler ultrasound confirmed patency of the popliteal and femoral veins, effectively ruling out DVT. This highlights the importance of integrated laboratory and imaging diagnostics to prevent misdiagnosis, which could lead to unnecessary anticoagulation therapy.</w:t>
      </w:r>
    </w:p>
    <w:p>
      <w:pPr>
        <w:pStyle w:val="BodyText"/>
      </w:pPr>
      <w:r>
        <w:t xml:space="preserve">Furthermore, this case underscores the burden of musculoskeletal disorders managed within the healthcare systems of United Kingdom Manchester. As an aging demographic experiences increased prevalence of degenerative joint diseases, resources allocated for MRI interpretation and specialized physiotherapy interventions are critical. The correlation between meniscal tears and subsequent Baker’s cyst formation suggests that early intervention in meniscal injuries may prevent secondary cyst development.</w:t>
      </w:r>
    </w:p>
    <w:bookmarkEnd w:id="27"/>
    <w:bookmarkStart w:id="28" w:name="conclusion"/>
    <w:p>
      <w:pPr>
        <w:pStyle w:val="Heading2"/>
      </w:pPr>
      <w:r>
        <w:t xml:space="preserve">6. Conclusion</w:t>
      </w:r>
    </w:p>
    <w:p>
      <w:pPr>
        <w:pStyle w:val="FirstParagraph"/>
      </w:pPr>
      <w:r>
        <w:t xml:space="preserve">The laboratory and imaging analysis conclusively identifies a benign, fluid-filled Baker’s cyst communicating with the knee joint space, driven by underlying medial meniscal tear and synovitis. No signs of malignancy or vascular thrombosis were detected.</w:t>
      </w:r>
    </w:p>
    <w:bookmarkEnd w:id="28"/>
    <w:bookmarkStart w:id="29" w:name="recommendations-for-clinical-management"/>
    <w:p>
      <w:pPr>
        <w:pStyle w:val="Heading2"/>
      </w:pPr>
      <w:r>
        <w:t xml:space="preserve">7. Recommendations for Clinical Management</w:t>
      </w:r>
    </w:p>
    <w:p>
      <w:pPr>
        <w:pStyle w:val="FirstParagraph"/>
      </w:pPr>
      <w:r>
        <w:t xml:space="preserve">Based on these findings, the following management plan is recommended:</w:t>
      </w:r>
    </w:p>
    <w:p>
      <w:pPr>
        <w:numPr>
          <w:ilvl w:val="0"/>
          <w:numId w:val="1003"/>
        </w:numPr>
        <w:pStyle w:val="Compact"/>
      </w:pPr>
      <w:r>
        <w:rPr>
          <w:bCs/>
          <w:b/>
        </w:rPr>
        <w:t xml:space="preserve">Conservative Management:</w:t>
      </w:r>
      <w:r>
        <w:t xml:space="preserve">Prioritize non-surgical interventions including activity modification, rest, ice therapy (RICE protocol), and non-steroidal anti-inflammatory drugs (NSAIDs) to reduce synovitis.</w:t>
      </w:r>
    </w:p>
    <w:p>
      <w:pPr>
        <w:numPr>
          <w:ilvl w:val="0"/>
          <w:numId w:val="1003"/>
        </w:numPr>
        <w:pStyle w:val="Compact"/>
      </w:pPr>
      <w:r>
        <w:rPr>
          <w:bCs/>
          <w:b/>
        </w:rPr>
        <w:t xml:space="preserve">Physiotherapy:</w:t>
      </w:r>
      <w:r>
        <w:t xml:space="preserve">Referral to local physiotherapy services in Manchester for strengthening of the quadriceps and hamstrings to improve joint stability and offload the meniscus.</w:t>
      </w:r>
    </w:p>
    <w:p>
      <w:pPr>
        <w:numPr>
          <w:ilvl w:val="0"/>
          <w:numId w:val="1003"/>
        </w:numPr>
        <w:pStyle w:val="Compact"/>
      </w:pPr>
      <w:r>
        <w:rPr>
          <w:bCs/>
          <w:b/>
        </w:rPr>
        <w:t xml:space="preserve">Intra-articular Injection:</w:t>
      </w:r>
      <w:r>
        <w:t xml:space="preserve">If symptoms persist, consider corticosteroid injection into the knee joint to reduce inflammation. Note: Aspiration of the Baker’s cyst itself is generally discouraged due high recurrence rates unless there is significant compressive neuropathy.</w:t>
      </w:r>
    </w:p>
    <w:p>
      <w:pPr>
        <w:numPr>
          <w:ilvl w:val="0"/>
          <w:numId w:val="1003"/>
        </w:numPr>
        <w:pStyle w:val="Compact"/>
      </w:pPr>
      <w:r>
        <w:rPr>
          <w:bCs/>
          <w:b/>
        </w:rPr>
        <w:t xml:space="preserve">Surgical Consultation:</w:t>
      </w:r>
      <w:r>
        <w:t xml:space="preserve">If conservative measures fail after 12 weeks, or if mechanical symptoms (locking/catching) dominate, arthroscopic evaluation for meniscal repair or debridement should be discussed. Addressing the underlying meniscal tear often resolves the Baker’s cyst.</w:t>
      </w:r>
    </w:p>
    <w:p>
      <w:pPr>
        <w:pStyle w:val="FirstParagraph"/>
      </w:pPr>
      <w:r>
        <w:rPr>
          <w:bCs/>
          <w:b/>
        </w:rPr>
        <w:t xml:space="preserve">Signed:</w:t>
      </w:r>
      <w:r>
        <w:br/>
      </w:r>
      <w:r>
        <w:t xml:space="preserve">Dr. A. Thompson, Consultant Radiologist</w:t>
      </w:r>
      <w:r>
        <w:br/>
      </w:r>
      <w:r>
        <w:t xml:space="preserve">The Christie NHS Foundation Trust, United Kingdom Manchester</w:t>
      </w:r>
      <w:r>
        <w:br/>
      </w:r>
      <w:r>
        <w:t xml:space="preserve">Date: October 26, 2023</w:t>
      </w:r>
    </w:p>
    <w:p>
      <w:pPr>
        <w:pStyle w:val="BodyText"/>
      </w:pPr>
      <w:r>
        <w:rPr>
          <w:iCs/>
          <w:i/>
        </w:rPr>
        <w:t xml:space="preserve">This report is generated for clinical use within the National Health Service framework in United Kingdom Manchester.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Lab Report: United Kingdom Manchester</dc:title>
  <dc:creator/>
  <dc:language>en</dc:language>
  <cp:keywords/>
  <dcterms:created xsi:type="dcterms:W3CDTF">2026-07-29T08:58:34Z</dcterms:created>
  <dcterms:modified xsi:type="dcterms:W3CDTF">2026-07-29T08:58:34Z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