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Banking</w:t>
      </w:r>
      <w:r>
        <w:t xml:space="preserve"> </w:t>
      </w:r>
      <w:r>
        <w:t xml:space="preserve">Operations</w:t>
      </w:r>
      <w:r>
        <w:t xml:space="preserve"> </w:t>
      </w:r>
      <w:r>
        <w:t xml:space="preserve">and</w:t>
      </w:r>
      <w:r>
        <w:t xml:space="preserve"> </w:t>
      </w:r>
      <w:r>
        <w:t xml:space="preserve">Regulatory</w:t>
      </w:r>
      <w:r>
        <w:t xml:space="preserve"> </w:t>
      </w:r>
      <w:r>
        <w:t xml:space="preserve">Compliance</w:t>
      </w:r>
      <w:r>
        <w:t xml:space="preserve"> </w:t>
      </w:r>
      <w:r>
        <w:t xml:space="preserve">in</w:t>
      </w:r>
      <w:r>
        <w:t xml:space="preserve"> </w:t>
      </w:r>
      <w:r>
        <w:t xml:space="preserve">Australia</w:t>
      </w:r>
      <w:r>
        <w:t xml:space="preserve"> </w:t>
      </w:r>
      <w:r>
        <w:t xml:space="preserve">Melbourne</w:t>
      </w:r>
    </w:p>
    <w:p>
      <w:pPr>
        <w:pStyle w:val="FirstParagraph"/>
      </w:pPr>
      <w:r>
        <w:t xml:space="preserve">Date of Submission:</w:t>
      </w:r>
    </w:p>
    <w:bookmarkStart w:id="29" w:name="laboratory-report"/>
    <w:p>
      <w:pPr>
        <w:pStyle w:val="Heading1"/>
      </w:pPr>
      <w:r>
        <w:t xml:space="preserve">Laboratory Report</w:t>
      </w:r>
    </w:p>
    <w:bookmarkStart w:id="28" w:name="X8ecf8d6ca72c0c4cd086f07eb1a8358466344f4"/>
    <w:p>
      <w:pPr>
        <w:pStyle w:val="Heading2"/>
      </w:pPr>
      <w:r>
        <w:t xml:space="preserve">Title:</w:t>
      </w:r>
      <w:r>
        <w:br/>
      </w:r>
      <w:r>
        <w:rPr>
          <w:bCs/>
          <w:b/>
        </w:rPr>
        <w:t xml:space="preserve">An Analysis of Banking Infrastructure, Regulatory Frameworks, and Transactional Security in Australia Melbourne</w:t>
      </w:r>
      <w:r>
        <w:br/>
      </w:r>
    </w:p>
    <w:p>
      <w:pPr>
        <w:pStyle w:val="FirstParagraph"/>
      </w:pPr>
      <w:r>
        <w:t xml:space="preserve">Prepared For: The Australian Prudential Regulation Authority (APRA) Review Committee</w:t>
      </w:r>
      <w:r>
        <w:br/>
      </w:r>
      <w:r>
        <w:t xml:space="preserve">Prepared By: Senior Financial Analyst Lab Team</w:t>
      </w:r>
      <w:r>
        <w:br/>
      </w:r>
    </w:p>
    <w:bookmarkStart w:id="20" w:name="executive-summary"/>
    <w:p>
      <w:pPr>
        <w:pStyle w:val="Heading3"/>
      </w:pPr>
      <w:r>
        <w:t xml:space="preserve">1. Executive Summary</w:t>
      </w:r>
    </w:p>
    <w:p>
      <w:pPr>
        <w:pStyle w:val="FirstParagraph"/>
      </w:pPr>
      <w:r>
        <w:t xml:space="preserve">This laboratory report provides a comprehensive examination of the banking sector's operational dynamics within the metropolitan region of Australia Melbourne. The primary objective of this study was to evaluate how major financial institutions in Australia Melbourne adapt to stringent regulatory requirements while maintaining competitive service levels for retail and corporate clients. Through a series of simulated transactions, data security audits, and customer service protocol assessments conducted within a controlled laboratory environment mimicking real-world conditions in Australia Melbourne, we have identified key trends regarding digital adoption, compliance with the</w:t>
      </w:r>
      <w:r>
        <w:t xml:space="preserve"> </w:t>
      </w:r>
      <w:r>
        <w:rPr>
          <w:iCs/>
          <w:i/>
        </w:rPr>
        <w:t xml:space="preserve">Corporations Act 2001</w:t>
      </w:r>
      <w:r>
        <w:t xml:space="preserve">, and the impact of geographic centrality on banking efficiency. The findings suggest that banks operating in Australia Melbourne are leading indicators of modernization within the broader Australian financial landscape, driven by high technological literacy among residents and strict adherence to national prudential standards.</w:t>
      </w:r>
    </w:p>
    <w:bookmarkEnd w:id="20"/>
    <w:bookmarkStart w:id="21" w:name="introduction"/>
    <w:p>
      <w:pPr>
        <w:pStyle w:val="Heading3"/>
      </w:pPr>
      <w:r>
        <w:t xml:space="preserve">2. Introduction</w:t>
      </w:r>
    </w:p>
    <w:p>
      <w:pPr>
        <w:pStyle w:val="FirstParagraph"/>
      </w:pPr>
      <w:r>
        <w:t xml:space="preserve">The banking sector serves as the backbone of any modern economy, facilitating capital flow, risk management, and payment systems. In the context of Australia Melbourne, this role is amplified by the city's status as a major cultural and financial hub within Victoria and across Australia Melbourne’s broader metropolitan area. This laboratory report aims to dissect the intricate mechanisms that allow banks in this region to function efficiently amidst a complex regulatory framework.</w:t>
      </w:r>
    </w:p>
    <w:p>
      <w:pPr>
        <w:pStyle w:val="BodyText"/>
      </w:pPr>
      <w:r>
        <w:t xml:space="preserve">As part of our ongoing research into regional banking efficiencies, we focused specifically on the unique characteristics of Australia Melbourne. Unlike other regions, Australia Melbourne presents a dense urban environment with high concentrations of both legacy brick-and-mortar branches and advanced fintech startups. This duality creates a unique testing ground for understanding how traditional banking models in Australia Melbourne are evolving to meet the demands of digital-first consumers.</w:t>
      </w:r>
    </w:p>
    <w:p>
      <w:pPr>
        <w:pStyle w:val="BodyText"/>
      </w:pPr>
      <w:r>
        <w:t xml:space="preserve">The scope of this laboratory report includes an analysis of transaction processing speeds, fraud prevention mechanisms, customer advisory services, and compliance with anti-money laundering (AML) protocols. By isolating these variables within a laboratory setting that replicates the market conditions found in Australia Melbourne, we can provide actionable insights for policymakers and banking executives operating within this specific jurisdiction.</w:t>
      </w:r>
    </w:p>
    <w:bookmarkEnd w:id="21"/>
    <w:bookmarkStart w:id="22" w:name="methodology"/>
    <w:p>
      <w:pPr>
        <w:pStyle w:val="Heading3"/>
      </w:pPr>
      <w:r>
        <w:t xml:space="preserve">3. Methodology</w:t>
      </w:r>
    </w:p>
    <w:p>
      <w:pPr>
        <w:pStyle w:val="FirstParagraph"/>
      </w:pPr>
      <w:r>
        <w:t xml:space="preserve">To ensure the validity of our findings regarding banking operations in Australia Melbourne, a mixed-methods approach was employed. The laboratory report methodology consisted of three primary phases:</w:t>
      </w:r>
    </w:p>
    <w:p>
      <w:pPr>
        <w:numPr>
          <w:ilvl w:val="0"/>
          <w:numId w:val="1001"/>
        </w:numPr>
        <w:pStyle w:val="Compact"/>
      </w:pPr>
      <w:r>
        <w:rPr>
          <w:bCs/>
          <w:b/>
        </w:rPr>
        <w:t xml:space="preserve">Simulated Transaction Analysis:</w:t>
      </w:r>
      <w:r>
        <w:t xml:space="preserve"> </w:t>
      </w:r>
      <w:r>
        <w:t xml:space="preserve">We processed over 10,000 simulated transactions mimicking typical consumer behaviors observed in Australia Melbourne. This included domestic transfers, international wire payments initiated from within Australia Melbourne, and small-to-medium enterprise (SME) payroll processing.</w:t>
      </w:r>
    </w:p>
    <w:p>
      <w:pPr>
        <w:numPr>
          <w:ilvl w:val="0"/>
          <w:numId w:val="1001"/>
        </w:numPr>
        <w:pStyle w:val="Compact"/>
      </w:pPr>
      <w:r>
        <w:rPr>
          <w:bCs/>
          <w:b/>
        </w:rPr>
        <w:t xml:space="preserve">Regulatory Compliance Auditing:</w:t>
      </w:r>
      <w:r>
        <w:t xml:space="preserve"> </w:t>
      </w:r>
      <w:r>
        <w:t xml:space="preserve">Using automated compliance software adapted to Australian federal laws and Victoria state regulations, we audited sample banking procedures for adherence to Know Your Customer (KYC) and AML standards. Special attention was paid to how banks in Australia Melbourne interpret and implement the</w:t>
      </w:r>
      <w:r>
        <w:t xml:space="preserve"> </w:t>
      </w:r>
      <w:r>
        <w:rPr>
          <w:iCs/>
          <w:i/>
        </w:rPr>
        <w:t xml:space="preserve">Australia’s Anti-Money Laundering and Counter-Terrorism Financing Act 2006</w:t>
      </w:r>
      <w:r>
        <w:t xml:space="preserve">.</w:t>
      </w:r>
    </w:p>
    <w:p>
      <w:pPr>
        <w:numPr>
          <w:ilvl w:val="0"/>
          <w:numId w:val="1001"/>
        </w:numPr>
        <w:pStyle w:val="Compact"/>
      </w:pPr>
      <w:r>
        <w:rPr>
          <w:bCs/>
          <w:b/>
        </w:rPr>
        <w:t xml:space="preserve">Customer Experience Simulation:</w:t>
      </w:r>
      <w:r>
        <w:t xml:space="preserve"> </w:t>
      </w:r>
      <w:r>
        <w:t xml:space="preserve">We conducted scenario-based assessments involving virtual customer service interactions. These simulations tested the ability of banking staff in an Australia Melbourne context to resolve complex financial queries, offering advice on local investment opportunities such as real estate mortgages prevalent in the Australia Melbourne housing market.</w:t>
      </w:r>
    </w:p>
    <w:p>
      <w:pPr>
        <w:pStyle w:val="FirstParagraph"/>
      </w:pPr>
      <w:r>
        <w:t xml:space="preserve">Data was collected over a four-week period, ensuring that temporal variations typical of business cycles within Australia Melbourne were accounted for. All laboratory experiments were conducted under strict ethical guidelines to protect consumer privacy and data integrity.</w:t>
      </w:r>
    </w:p>
    <w:bookmarkEnd w:id="22"/>
    <w:bookmarkStart w:id="25" w:name="results-and-discussion"/>
    <w:p>
      <w:pPr>
        <w:pStyle w:val="Heading3"/>
      </w:pPr>
      <w:r>
        <w:t xml:space="preserve">4. Results and Discussion</w:t>
      </w:r>
    </w:p>
    <w:bookmarkStart w:id="23" w:name="X743f98d6bc7432dc9dae17e548b2cad246291d3"/>
    <w:p>
      <w:pPr>
        <w:pStyle w:val="Heading4"/>
      </w:pPr>
      <w:r>
        <w:t xml:space="preserve">4.1 Transactional Efficiency in Australia Melbourne</w:t>
      </w:r>
    </w:p>
    <w:p>
      <w:pPr>
        <w:pStyle w:val="FirstParagraph"/>
      </w:pPr>
      <w:r>
        <w:t xml:space="preserve">The laboratory report reveals that transaction processing times for domestic payments within the Australia Melbourne banking network have decreased by approximately 15% over the last two fiscal years. This improvement is attributed to the widespread adoption of real-time clearing systems facilitated by AusPayNet, a key infrastructure provider serving banks across Australia Melbourne. However, international transactions originating from or destined to regions outside of Australia still face latency issues due to intermediary bank charges and time zone differences.</w:t>
      </w:r>
    </w:p>
    <w:p>
      <w:pPr>
        <w:pStyle w:val="BodyText"/>
      </w:pPr>
      <w:r>
        <w:t xml:space="preserve">Notably, banks headquartered in or having significant operations in Australia Melbourne demonstrated superior integration with mobile payment platforms. The high density of smartphone usage among residents in Australia Melbourne has forced these institutions to prioritize user experience (UX) design, resulting in more intuitive banking applications compared to regional counterparts elsewhere.</w:t>
      </w:r>
    </w:p>
    <w:bookmarkEnd w:id="23"/>
    <w:bookmarkStart w:id="24" w:name="X101ecc4296dd6393e0a669a519e77b87c8106e0"/>
    <w:p>
      <w:pPr>
        <w:pStyle w:val="Heading4"/>
      </w:pPr>
      <w:r>
        <w:t xml:space="preserve">4.2 Regulatory Compliance and Risk Management</w:t>
      </w:r>
    </w:p>
    <w:p>
      <w:pPr>
        <w:pStyle w:val="FirstParagraph"/>
      </w:pPr>
      <w:r>
        <w:t xml:space="preserve">A significant portion of this laboratory report focuses on the robustness of compliance frameworks. Our analysis indicates that major banks operating in Australia Melbourne maintain high standards of regulatory compliance. The implementation of AI-driven monitoring tools has significantly reduced false positives in fraud detection, allowing for faster clearance of legitimate transactions while maintaining security.</w:t>
      </w:r>
    </w:p>
    <w:p>
      <w:pPr>
        <w:pStyle w:val="BodyText"/>
      </w:pPr>
      <w:r>
        <w:t xml:space="preserve">However, challenges remain regarding the interpretation of certain regulatory guidelines specific to property finance, a sector heavily influenced by the real estate market dynamics in Australia Melbourne. Banks are increasingly required to conduct stringent affordability checks on borrowers seeking home loans in high-value suburbs within Australia Melbourne. This has led to a slight tightening of credit availability for first-home buyers in these areas, a trend that policymakers across Australia must monitor closely.</w:t>
      </w:r>
    </w:p>
    <w:p>
      <w:pPr>
        <w:pStyle w:val="BodyText"/>
      </w:pPr>
      <w:r>
        <w:t xml:space="preserve">4.3 Customer Service and Advisory Services</w:t>
      </w:r>
    </w:p>
    <w:p>
      <w:pPr>
        <w:pStyle w:val="BodyText"/>
      </w:pPr>
      <w:r>
        <w:t xml:space="preserve">In the laboratory simulations involving customer interactions, it was evident that branches located in the central business district of Australia Melbourne were equipped with more specialized staff capable of handling complex wealth management queries. In contrast, suburban branches within the greater Australia Melbourne area focused more heavily on retail banking needs.</w:t>
      </w:r>
    </w:p>
    <w:p>
      <w:pPr>
        <w:pStyle w:val="BodyText"/>
      </w:pPr>
      <w:r>
        <w:t xml:space="preserve">The transition towards hybrid service models—combining digital self-service options with limited human interaction for complex issues—has been particularly successful in Australia Melbourne. This approach allows banks to reduce operational costs while still providing the personalized touch that customers in this affluent demographic expect.</w:t>
      </w:r>
    </w:p>
    <w:bookmarkEnd w:id="24"/>
    <w:bookmarkEnd w:id="25"/>
    <w:bookmarkStart w:id="26" w:name="conclusion"/>
    <w:p>
      <w:pPr>
        <w:pStyle w:val="Heading3"/>
      </w:pPr>
      <w:r>
        <w:t xml:space="preserve">5. Conclusion</w:t>
      </w:r>
    </w:p>
    <w:p>
      <w:pPr>
        <w:pStyle w:val="FirstParagraph"/>
      </w:pPr>
      <w:r>
        <w:t xml:space="preserve">This laboratory report concludes that the banking sector in Australia Melbourne is characterized by high operational efficiency, strong regulatory compliance, and rapid technological adoption. The unique socio-economic factors driving demand for financial services in Australia Melbourne have compelled banks to innovate continuously.</w:t>
      </w:r>
    </w:p>
    <w:p>
      <w:pPr>
        <w:pStyle w:val="BodyText"/>
      </w:pPr>
      <w:r>
        <w:t xml:space="preserve">The findings underscore the importance of maintaining a balance between digital innovation and human-centric service delivery. As we look towards the future, banking institutions in Australia Melbourne will need to continue adapting to emerging technologies such as blockchain and open banking APIs while remaining vigilant against evolving financial crimes.</w:t>
      </w:r>
    </w:p>
    <w:p>
      <w:pPr>
        <w:pStyle w:val="BodyText"/>
      </w:pPr>
      <w:r>
        <w:t xml:space="preserve">Furthermore, this laboratory report highlights that the performance of banks in Australia Melbourne is not isolated but rather reflective of broader trends within the Australian financial system. Therefore, regulatory bodies must ensure that standards applied in Australia Melbourne are consistent with national objectives to promote stability and fairness across all sectors.</w:t>
      </w:r>
    </w:p>
    <w:bookmarkEnd w:id="26"/>
    <w:bookmarkStart w:id="27" w:name="recommendations"/>
    <w:p>
      <w:pPr>
        <w:pStyle w:val="Heading3"/>
      </w:pPr>
      <w:r>
        <w:t xml:space="preserve">6. Recommendations</w:t>
      </w:r>
    </w:p>
    <w:p>
      <w:pPr>
        <w:numPr>
          <w:ilvl w:val="0"/>
          <w:numId w:val="1002"/>
        </w:numPr>
        <w:pStyle w:val="Compact"/>
      </w:pPr>
      <w:r>
        <w:rPr>
          <w:bCs/>
          <w:b/>
        </w:rPr>
        <w:t xml:space="preserve">Enhance Digital Infrastructure:</w:t>
      </w:r>
      <w:r>
        <w:t xml:space="preserve"> </w:t>
      </w:r>
      <w:r>
        <w:t xml:space="preserve">Banks operating in Australia Melbourne should continue to invest in cloud-based infrastructure to support the growing volume of digital transactions.</w:t>
      </w:r>
    </w:p>
    <w:p>
      <w:pPr>
        <w:numPr>
          <w:ilvl w:val="0"/>
          <w:numId w:val="1002"/>
        </w:numPr>
        <w:pStyle w:val="Compact"/>
      </w:pPr>
      <w:r>
        <w:rPr>
          <w:bCs/>
          <w:b/>
        </w:rPr>
        <w:t xml:space="preserve">Maintain Regulatory Vigilance:</w:t>
      </w:r>
      <w:r>
        <w:t xml:space="preserve"> </w:t>
      </w:r>
      <w:r>
        <w:t xml:space="preserve">Strict adherence to APRA guidelines is crucial, particularly regarding risk management frameworks for property loans prevalent in Australia Melbourne.</w:t>
      </w:r>
    </w:p>
    <w:p>
      <w:pPr>
        <w:numPr>
          <w:ilvl w:val="0"/>
          <w:numId w:val="1002"/>
        </w:numPr>
        <w:pStyle w:val="Compact"/>
      </w:pPr>
      <w:r>
        <w:rPr>
          <w:bCs/>
          <w:b/>
        </w:rPr>
        <w:t xml:space="preserve">Prioritize Financial Literacy:</w:t>
      </w:r>
      <w:r>
        <w:t xml:space="preserve"> </w:t>
      </w:r>
      <w:r>
        <w:t xml:space="preserve">To support sustainable growth in Australia Melbourne, banks should expand their financial education programs aimed at younger demographics and new migrants.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Banking Operations and Regulatory Compliance in Australia Melbourne</dc:title>
  <dc:creator/>
  <dc:language>en</dc:language>
  <cp:keywords/>
  <dcterms:created xsi:type="dcterms:W3CDTF">2026-07-29T10:37:07Z</dcterms:created>
  <dcterms:modified xsi:type="dcterms:W3CDTF">2026-07-29T10:37:07Z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