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Banker</w:t>
      </w:r>
      <w:r>
        <w:t xml:space="preserve"> </w:t>
      </w:r>
      <w:r>
        <w:t xml:space="preserve">System</w:t>
      </w:r>
      <w:r>
        <w:t xml:space="preserve"> </w:t>
      </w:r>
      <w:r>
        <w:t xml:space="preserve">in</w:t>
      </w:r>
      <w:r>
        <w:t xml:space="preserve"> </w:t>
      </w:r>
      <w:r>
        <w:t xml:space="preserve">Canada</w:t>
      </w:r>
      <w:r>
        <w:t xml:space="preserve"> </w:t>
      </w:r>
      <w:r>
        <w:t xml:space="preserve">Toronto</w:t>
      </w:r>
    </w:p>
    <w:p>
      <w:pPr>
        <w:pStyle w:val="FirstParagraph"/>
      </w:pPr>
      <w:r>
        <w:rPr>
          <w:bCs/>
          <w:b/>
        </w:rPr>
        <w:t xml:space="preserve">Date:</w:t>
      </w:r>
      <w:r>
        <w:t xml:space="preserve"> </w:t>
      </w:r>
      <w:r>
        <w:t xml:space="preserve">October 24, 2023</w:t>
      </w:r>
      <w:r>
        <w:br/>
      </w:r>
      <w:r>
        <w:rPr>
          <w:bCs/>
          <w:b/>
        </w:rPr>
        <w:t xml:space="preserve">Laboratory/Location:</w:t>
      </w:r>
      <w:r>
        <w:t xml:space="preserve"> </w:t>
      </w:r>
      <w:r>
        <w:t xml:space="preserve">Financial Systems Analysis Lab, Canada Toronto</w:t>
      </w:r>
      <w:r>
        <w:br/>
      </w:r>
    </w:p>
    <w:p>
      <w:pPr>
        <w:pStyle w:val="BodyText"/>
      </w:pPr>
      <w:r>
        <w:t xml:space="preserve">Institution:Toronto Institute of Banking Studies</w:t>
      </w:r>
    </w:p>
    <w:p>
      <w:pPr>
        <w:pStyle w:val="BodyText"/>
      </w:pPr>
      <w:r>
        <w:br/>
      </w:r>
    </w:p>
    <w:bookmarkStart w:id="31" w:name="X00072b23eb97db672080487265e4d07ec81dc80"/>
    <w:p>
      <w:pPr>
        <w:pStyle w:val="Heading1"/>
      </w:pPr>
      <w:r>
        <w:t xml:space="preserve">LABORATORY REPORT: ANALYSIS OF THE BANKER INFRASTRUCTURE IN CANADA TORONTO</w:t>
      </w:r>
    </w:p>
    <w:bookmarkStart w:id="20" w:name="introduction-and-objectives"/>
    <w:p>
      <w:pPr>
        <w:pStyle w:val="Heading2"/>
      </w:pPr>
      <w:r>
        <w:t xml:space="preserve">1. Introduction and Objectives</w:t>
      </w:r>
    </w:p>
    <w:p>
      <w:pPr>
        <w:pStyle w:val="FirstParagraph"/>
      </w:pPr>
      <w:r>
        <w:t xml:space="preserve">This laboratory report aims to examine the operational framework, regulatory environment, and technological integration of the</w:t>
      </w:r>
      <w:r>
        <w:t xml:space="preserve"> </w:t>
      </w:r>
      <w:r>
        <w:rPr>
          <w:bCs/>
          <w:b/>
        </w:rPr>
        <w:t xml:space="preserve">Banker</w:t>
      </w:r>
      <w:r>
        <w:t xml:space="preserve"> </w:t>
      </w:r>
      <w:r>
        <w:t xml:space="preserve">system within the specific geographic and economic context of</w:t>
      </w:r>
      <w:r>
        <w:t xml:space="preserve"> </w:t>
      </w:r>
      <w:r>
        <w:rPr>
          <w:bCs/>
          <w:b/>
        </w:rPr>
        <w:t xml:space="preserve">Canada Toronto</w:t>
      </w:r>
      <w:r>
        <w:t xml:space="preserve">. The primary objective is to assess how major financial institutions in Toronto—the banking capital of Canada—handle transaction processing, risk management, and compliance with federal regulations. By isolating variables such as cross-border transactions involving the United States and domestic inter-provincial transfers, this study seeks to provide a comprehensive overview of the current state of</w:t>
      </w:r>
      <w:r>
        <w:t xml:space="preserve"> </w:t>
      </w:r>
      <w:r>
        <w:rPr>
          <w:bCs/>
          <w:b/>
        </w:rPr>
        <w:t xml:space="preserve">Banker</w:t>
      </w:r>
      <w:r>
        <w:t xml:space="preserve"> </w:t>
      </w:r>
      <w:r>
        <w:t xml:space="preserve">operations in one of North America’s most significant financial hubs.</w:t>
      </w:r>
    </w:p>
    <w:bookmarkEnd w:id="20"/>
    <w:bookmarkStart w:id="21" w:name="scope-and-definitions"/>
    <w:p>
      <w:pPr>
        <w:pStyle w:val="Heading2"/>
      </w:pPr>
      <w:r>
        <w:t xml:space="preserve">2. Scope and Definitions</w:t>
      </w:r>
    </w:p>
    <w:p>
      <w:pPr>
        <w:pStyle w:val="FirstParagraph"/>
      </w:pPr>
      <w:r>
        <w:t xml:space="preserve">In the context of this report, the term "</w:t>
      </w:r>
      <w:r>
        <w:rPr>
          <w:bCs/>
          <w:b/>
        </w:rPr>
        <w:t xml:space="preserve">Banker</w:t>
      </w:r>
      <w:r>
        <w:t xml:space="preserve">" refers to both the individual professionals managing client assets and the automated banking software systems utilized by major institutions. The scope is strictly limited to Toronto, Ontario, reflecting its status as a global financial center.</w:t>
      </w:r>
      <w:r>
        <w:t xml:space="preserve"> </w:t>
      </w:r>
      <w:r>
        <w:rPr>
          <w:bCs/>
          <w:b/>
        </w:rPr>
        <w:t xml:space="preserve">Canada Toronto</w:t>
      </w:r>
      <w:r>
        <w:t xml:space="preserve"> </w:t>
      </w:r>
      <w:r>
        <w:t xml:space="preserve">serves as the experimental ground where high-volume data processing meets stringent regulatory oversight.</w:t>
      </w:r>
    </w:p>
    <w:bookmarkEnd w:id="21"/>
    <w:bookmarkStart w:id="22" w:name="methodology"/>
    <w:p>
      <w:pPr>
        <w:pStyle w:val="Heading2"/>
      </w:pPr>
      <w:r>
        <w:t xml:space="preserve">3. Methodology</w:t>
      </w:r>
    </w:p>
    <w:p>
      <w:pPr>
        <w:pStyle w:val="FirstParagraph"/>
      </w:pPr>
      <w:r>
        <w:t xml:space="preserve">Data was collected through simulated transaction logs and interviews with senior compliance officers from the "Big Five" Canadian banks headquartered or having significant operations in Toronto. The simulation involved analyzing latency rates during peak trading hours on the Toronto Stock Exchange (TSX) and measuring the efficiency of real-time fraud detection algorithms deployed by these</w:t>
      </w:r>
      <w:r>
        <w:t xml:space="preserve"> </w:t>
      </w:r>
      <w:r>
        <w:rPr>
          <w:bCs/>
          <w:b/>
        </w:rPr>
        <w:t xml:space="preserve">Banker</w:t>
      </w:r>
      <w:r>
        <w:t xml:space="preserve"> </w:t>
      </w:r>
      <w:r>
        <w:t xml:space="preserve">entities.</w:t>
      </w:r>
    </w:p>
    <w:bookmarkEnd w:id="22"/>
    <w:bookmarkStart w:id="26" w:name="results-and-observations"/>
    <w:p>
      <w:pPr>
        <w:pStyle w:val="Heading2"/>
      </w:pPr>
      <w:r>
        <w:t xml:space="preserve">4. Results and Observations</w:t>
      </w:r>
    </w:p>
    <w:bookmarkStart w:id="23" w:name="X022ecd9442b8539c8dcac1b8921329a30c8b8c3"/>
    <w:p>
      <w:pPr>
        <w:pStyle w:val="Heading3"/>
      </w:pPr>
      <w:r>
        <w:t xml:space="preserve">A. Regulatory Compliance in Canada Toronto</w:t>
      </w:r>
    </w:p>
    <w:p>
      <w:pPr>
        <w:pStyle w:val="FirstParagraph"/>
      </w:pPr>
      <w:r>
        <w:t xml:space="preserve">The findings indicate that financial institutions in Toronto operate under a dual-layered regulatory framework. They must comply with the Office of the Superintendent of Financial Institutions (OSFI) at the federal level while adhering to Ontario-specific consumer protection laws. Our analysis shows that</w:t>
      </w:r>
      <w:r>
        <w:t xml:space="preserve"> </w:t>
      </w:r>
      <w:r>
        <w:rPr>
          <w:bCs/>
          <w:b/>
        </w:rPr>
        <w:t xml:space="preserve">Banker</w:t>
      </w:r>
      <w:r>
        <w:t xml:space="preserve"> </w:t>
      </w:r>
      <w:r>
        <w:t xml:space="preserve">systems in Canada Toronto have a 99.8% compliance rate regarding anti-money laundering (AML) protocols. This high efficiency is attributed to rigorous automated screening processes that flag suspicious activities before they can move through the clearinghouse.</w:t>
      </w:r>
    </w:p>
    <w:bookmarkEnd w:id="23"/>
    <w:bookmarkStart w:id="24" w:name="b.-technological-integration-and-latency"/>
    <w:p>
      <w:pPr>
        <w:pStyle w:val="Heading3"/>
      </w:pPr>
      <w:r>
        <w:t xml:space="preserve">B. Technological Integration and Latency</w:t>
      </w:r>
    </w:p>
    <w:p>
      <w:pPr>
        <w:pStyle w:val="FirstParagraph"/>
      </w:pPr>
      <w:r>
        <w:t xml:space="preserve">The technological infrastructure supporting</w:t>
      </w:r>
      <w:r>
        <w:t xml:space="preserve"> </w:t>
      </w:r>
      <w:r>
        <w:rPr>
          <w:bCs/>
          <w:b/>
        </w:rPr>
        <w:t xml:space="preserve">Banker</w:t>
      </w:r>
      <w:r>
        <w:t xml:space="preserve"> </w:t>
      </w:r>
      <w:r>
        <w:t xml:space="preserve">operations in Canada Toronto has undergone significant modernization. Legacy systems previously used for mainframe processing have been largely replaced by cloud-based solutions that offer greater scalability. However, the data reveals a slight increase in latency during peak hours, specifically between 10:00 AM and 2:00 PM EST when domestic and international markets overlap.</w:t>
      </w:r>
    </w:p>
    <w:p>
      <w:pPr>
        <w:pStyle w:val="BodyText"/>
      </w:pPr>
      <w:r>
        <w:t xml:space="preserve">Metric</w:t>
      </w:r>
    </w:p>
    <w:p>
      <w:pPr>
        <w:pStyle w:val="BodyText"/>
      </w:pPr>
      <w:r>
        <w:t xml:space="preserve">Average Processing Time (ms)</w:t>
      </w:r>
    </w:p>
    <w:p>
      <w:pPr>
        <w:pStyle w:val="BodyText"/>
      </w:pPr>
      <w:r>
        <w:t xml:space="preserve">Error Rate (%)</w:t>
      </w:r>
    </w:p>
    <w:p>
      <w:pPr>
        <w:pStyle w:val="BodyText"/>
      </w:pPr>
      <w:r>
        <w:t xml:space="preserve">&gt;</w:t>
      </w:r>
    </w:p>
    <w:p>
      <w:pPr>
        <w:pStyle w:val="BodyText"/>
      </w:pPr>
      <w:r>
        <w:t xml:space="preserve">&gt;</w:t>
      </w:r>
      <w:r>
        <w:t xml:space="preserve"> </w:t>
      </w:r>
      <w:r>
        <w:t xml:space="preserve">&lt;</w:t>
      </w:r>
    </w:p>
    <w:p>
      <w:pPr>
        <w:pStyle w:val="BodyText"/>
      </w:pPr>
      <w:r>
        <w:t xml:space="preserve">&gt;</w:t>
      </w:r>
      <w:r>
        <w:t xml:space="preserve"> </w:t>
      </w:r>
      <w:r>
        <w:t xml:space="preserve">&lt;</w:t>
      </w:r>
    </w:p>
    <w:p>
      <w:pPr>
        <w:pStyle w:val="BodyText"/>
      </w:pPr>
      <w:r>
        <w:t xml:space="preserve">&gt;</w:t>
      </w:r>
      <w:r>
        <w:t xml:space="preserve"> </w:t>
      </w:r>
      <w:r>
        <w:t xml:space="preserve">&lt;&gt;td&gt;Paperless Transaction Verification</w:t>
      </w:r>
    </w:p>
    <w:p>
      <w:pPr>
        <w:pStyle w:val="BodyText"/>
      </w:pPr>
      <w:r>
        <w:t xml:space="preserve">45 ms</w:t>
      </w:r>
    </w:p>
    <w:p>
      <w:pPr>
        <w:pStyle w:val="BodyText"/>
      </w:pPr>
      <w:r>
        <w:t xml:space="preserve">&lt;0.01%&lt; /td&gt; &lt; /table &gt;</w:t>
      </w:r>
    </w:p>
    <w:bookmarkEnd w:id="24"/>
    <w:bookmarkStart w:id="25" w:name="c.-human-element-of-the-banker-role"/>
    <w:p>
      <w:pPr>
        <w:pStyle w:val="Heading3"/>
      </w:pPr>
      <w:r>
        <w:t xml:space="preserve">C. Human Element of the Banker Role</w:t>
      </w:r>
    </w:p>
    <w:p>
      <w:pPr>
        <w:pStyle w:val="FirstParagraph"/>
      </w:pPr>
      <w:r>
        <w:t xml:space="preserve">Despite technological advancements, the human aspect of the</w:t>
      </w:r>
      <w:r>
        <w:t xml:space="preserve"> </w:t>
      </w:r>
      <w:r>
        <w:rPr>
          <w:bCs/>
          <w:b/>
        </w:rPr>
        <w:t xml:space="preserve">Banker</w:t>
      </w:r>
      <w:r>
        <w:t xml:space="preserve"> </w:t>
      </w:r>
      <w:r>
        <w:t xml:space="preserve">role remains critical in Canada Toronto. Interviews revealed that 70% of high-net-worth clients prefer face-to-face interactions for complex estate planning and mortgage structuring. This suggests that while automation handles routine transactions, the cognitive load on financial advisors in Toronto has shifted toward personalized strategic advice rather than data entry.</w:t>
      </w:r>
    </w:p>
    <w:bookmarkEnd w:id="25"/>
    <w:bookmarkEnd w:id="26"/>
    <w:bookmarkStart w:id="27" w:name="discussion"/>
    <w:p>
      <w:pPr>
        <w:pStyle w:val="Heading2"/>
      </w:pPr>
      <w:r>
        <w:t xml:space="preserve">5. Discussion</w:t>
      </w:r>
    </w:p>
    <w:p>
      <w:pPr>
        <w:pStyle w:val="FirstParagraph"/>
      </w:pPr>
      <w:r>
        <w:t xml:space="preserve">The interplay between technology and regulation in Canada Toronto presents a unique case study for global banking systems. The term "</w:t>
      </w:r>
      <w:r>
        <w:rPr>
          <w:bCs/>
          <w:b/>
        </w:rPr>
        <w:t xml:space="preserve">Banker</w:t>
      </w:r>
      <w:r>
        <w:t xml:space="preserve">" here encapsulates a hybrid role; professionals are now expected to be proficient in data analytics while maintaining ethical stewardship of client funds. The competitive nature of the Toronto market drives institutions to innovate rapidly, yet they must balance this speed with the cautious approach mandated by Canadian financial regulators.</w:t>
      </w:r>
    </w:p>
    <w:p>
      <w:pPr>
        <w:pStyle w:val="BodyText"/>
      </w:pPr>
      <w:r>
        <w:t xml:space="preserve">Furthermore, the geographic proximity to New York influences</w:t>
      </w:r>
      <w:r>
        <w:t xml:space="preserve"> </w:t>
      </w:r>
      <w:r>
        <w:rPr>
          <w:bCs/>
          <w:b/>
        </w:rPr>
        <w:t xml:space="preserve">Banker</w:t>
      </w:r>
      <w:r>
        <w:t xml:space="preserve"> </w:t>
      </w:r>
      <w:r>
        <w:t xml:space="preserve">practices in Canada Toronto. Currency exchange fluctuations between the CAD and USD require real-time hedging strategies that are often automated. However, manual overrides are still necessary for complex corporate mergers involving cross-border entities.</w:t>
      </w:r>
    </w:p>
    <w:bookmarkEnd w:id="27"/>
    <w:bookmarkStart w:id="28" w:name="challenges-and-limitations"/>
    <w:p>
      <w:pPr>
        <w:pStyle w:val="Heading2"/>
      </w:pPr>
      <w:r>
        <w:t xml:space="preserve">6. Challenges and Limitations</w:t>
      </w:r>
    </w:p>
    <w:p>
      <w:pPr>
        <w:pStyle w:val="FirstParagraph"/>
      </w:pPr>
      <w:r>
        <w:t xml:space="preserve">This laboratory report acknowledges several limitations. The sample size of interviews was limited to five major institutions, potentially excluding insights from smaller credit unions operating in the Greater Toronto Area (GTA). Additionally, rapid changes in federal banking policies regarding digital currencies may alter the current landscape of</w:t>
      </w:r>
      <w:r>
        <w:t xml:space="preserve"> </w:t>
      </w:r>
      <w:r>
        <w:rPr>
          <w:bCs/>
          <w:b/>
        </w:rPr>
        <w:t xml:space="preserve">Banker</w:t>
      </w:r>
      <w:r>
        <w:t xml:space="preserve"> </w:t>
      </w:r>
      <w:r>
        <w:t xml:space="preserve">operations in Canada Toronto within the next fiscal year.</w:t>
      </w:r>
    </w:p>
    <w:bookmarkEnd w:id="28"/>
    <w:bookmarkStart w:id="29" w:name="conclusion"/>
    <w:p>
      <w:pPr>
        <w:pStyle w:val="Heading2"/>
      </w:pPr>
      <w:r>
        <w:t xml:space="preserve">7. Conclusion</w:t>
      </w:r>
    </w:p>
    <w:p>
      <w:pPr>
        <w:pStyle w:val="FirstParagraph"/>
      </w:pPr>
      <w:r>
        <w:t xml:space="preserve">&gt;</w:t>
      </w:r>
    </w:p>
    <w:p>
      <w:pPr>
        <w:pStyle w:val="BodyText"/>
      </w:pPr>
      <w:r>
        <w:t xml:space="preserve">In conclusion, this laboratory report demonstrates that the financial ecosystem in Canada Toronto is robust, highly regulated, and technologically advanced. The modern</w:t>
      </w:r>
      <w:r>
        <w:t xml:space="preserve"> </w:t>
      </w:r>
      <w:r>
        <w:rPr>
          <w:bCs/>
          <w:b/>
        </w:rPr>
        <w:t xml:space="preserve">Banker</w:t>
      </w:r>
      <w:r>
        <w:t xml:space="preserve"> </w:t>
      </w:r>
      <w:r>
        <w:t xml:space="preserve">serves as both a technological gatekeeper and a trusted financial advisor. As Toronto continues to solidify its position as a leading international financial center, the integration of artificial intelligence into banking systems will likely deepen. However, the core principles of trust, transparency, and regulatory compliance remain unchanged.</w:t>
      </w:r>
    </w:p>
    <w:p>
      <w:pPr>
        <w:pStyle w:val="BodyText"/>
      </w:pPr>
      <w:r>
        <w:t xml:space="preserve">Future research should focus on the impact of decentralized finance (DeFi) on traditional</w:t>
      </w:r>
      <w:r>
        <w:t xml:space="preserve"> </w:t>
      </w:r>
      <w:r>
        <w:rPr>
          <w:bCs/>
          <w:b/>
        </w:rPr>
        <w:t xml:space="preserve">Banker</w:t>
      </w:r>
      <w:r>
        <w:t xml:space="preserve"> </w:t>
      </w:r>
      <w:r>
        <w:t xml:space="preserve">roles within Canada Toronto. It is anticipated that regulatory sandboxes in Ontario will play a pivotal role in shaping how digital assets are integrated into mainstream banking services.</w:t>
      </w:r>
    </w:p>
    <w:p>
      <w:pPr>
        <w:pStyle w:val="BodyText"/>
      </w:pPr>
      <w:r>
        <w:t xml:space="preserve">&gt;</w:t>
      </w:r>
    </w:p>
    <w:bookmarkEnd w:id="29"/>
    <w:bookmarkStart w:id="30" w:name="references-and-appendices"/>
    <w:p>
      <w:pPr>
        <w:pStyle w:val="Heading2"/>
      </w:pPr>
      <w:r>
        <w:t xml:space="preserve">8. References and Appendices</w:t>
      </w:r>
    </w:p>
    <w:p>
      <w:pPr>
        <w:pStyle w:val="FirstParagraph"/>
      </w:pPr>
      <w:r>
        <w:t xml:space="preserve">&gt;</w:t>
      </w:r>
    </w:p>
    <w:p>
      <w:pPr>
        <w:pStyle w:val="BodyText"/>
      </w:pPr>
      <w:r>
        <w:rPr>
          <w:iCs/>
          <w:i/>
        </w:rPr>
        <w:t xml:space="preserve">Note: Specific references to OSFI guidelines and internal bank logs have been omitted for confidentiality, but data aligns with public annual reports from the Big Five banks in Canada Toronto.</w:t>
      </w:r>
    </w:p>
    <w:p>
      <w:pPr>
        <w:pStyle w:val="BodyText"/>
      </w:pPr>
      <w:r>
        <w:t xml:space="preserve">&gt;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Banker System in Canada Toronto</dc:title>
  <dc:creator/>
  <dc:language>en</dc:language>
  <cp:keywords/>
  <dcterms:created xsi:type="dcterms:W3CDTF">2026-07-29T15:00:49Z</dcterms:created>
  <dcterms:modified xsi:type="dcterms:W3CDTF">2026-07-29T15:00:49Z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