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France</w:t>
      </w:r>
      <w:r>
        <w:t xml:space="preserve"> </w:t>
      </w:r>
      <w:r>
        <w:t xml:space="preserve">Paris</w:t>
      </w:r>
    </w:p>
    <w:p>
      <w:pPr>
        <w:pStyle w:val="FirstParagraph"/>
      </w:pPr>
      <w:r>
        <w:rPr>
          <w:bCs/>
          <w:b/>
        </w:rPr>
        <w:t xml:space="preserve">Date:</w:t>
      </w:r>
      <w:r>
        <w:t xml:space="preserve"> </w:t>
      </w:r>
      <w:r>
        <w:t xml:space="preserve">October 24, 2023</w:t>
      </w:r>
      <w:r>
        <w:br/>
      </w:r>
      <w:r>
        <w:rPr>
          <w:bCs/>
          <w:b/>
        </w:rPr>
        <w:t xml:space="preserve">Laboratory:</w:t>
      </w:r>
      <w:r>
        <w:t xml:space="preserve"> </w:t>
      </w:r>
      <w:r>
        <w:t xml:space="preserve">Institute of Financial Systems Analysis</w:t>
      </w:r>
      <w:r>
        <w:br/>
      </w:r>
      <w:r>
        <w:br/>
      </w:r>
      <w:r>
        <w:rPr>
          <w:iCs/>
          <w:i/>
        </w:rPr>
        <w:t xml:space="preserve">This document serves as a comprehensive Lab Report detailing the operational dynamics of The Banker within the specific regulatory and cultural context of France Paris.</w:t>
      </w:r>
    </w:p>
    <w:bookmarkStart w:id="26" w:name="X86f7994bedfe314035a191b953ce472bc526c9b"/>
    <w:p>
      <w:pPr>
        <w:pStyle w:val="Heading1"/>
      </w:pPr>
      <w:r>
        <w:t xml:space="preserve">The Role, Impact, and Evolution of The Banker in France Paris</w:t>
      </w:r>
    </w:p>
    <w:bookmarkStart w:id="20" w:name="introduction"/>
    <w:p>
      <w:pPr>
        <w:pStyle w:val="Heading2"/>
      </w:pPr>
      <w:r>
        <w:t xml:space="preserve">1. Introduction</w:t>
      </w:r>
    </w:p>
    <w:p>
      <w:pPr>
        <w:pStyle w:val="FirstParagraph"/>
      </w:pPr>
      <w:r>
        <w:t xml:space="preserve">This laboratory report aims to dissect the multifaceted role of "The Banker" within the financial ecosystem of France Paris. While "The Banker" is often viewed as a singular professional archetype, in the context of one of Europe's most historic and regulated financial hubs, this role transcends mere transactional utility. It embodies a complex interplay between historical tradition, modern regulatory compliance (MiFID II), and digital innovation. This report analyzes how The Banker operates in France Paris, examining the unique socio-economic pressures placed upon this profession by the specific legal frameworks of the French Republic and the competitive landscape of European banking.</w:t>
      </w:r>
    </w:p>
    <w:bookmarkEnd w:id="20"/>
    <w:bookmarkStart w:id="21" w:name="X7e197e972101d134eef1adc4a3f874a370f6b89"/>
    <w:p>
      <w:pPr>
        <w:pStyle w:val="Heading2"/>
      </w:pPr>
      <w:r>
        <w:t xml:space="preserve">2. Historical Context: The Legacy of Banking in France Paris</w:t>
      </w:r>
    </w:p>
    <w:p>
      <w:pPr>
        <w:pStyle w:val="FirstParagraph"/>
      </w:pPr>
      <w:r>
        <w:t xml:space="preserve">To understand The Banker in France Paris today, one must first acknowledge the deep historical roots that define this profession. Since Louis XIV established the Banque Royale, banking in Paris has been synonymous with statecraft and national stability. Unlike the decentralized banking systems seen elsewhere, French finance has historically been highly centralized. Today, The Banker inherits this legacy of institutional responsibility. In France Paris, The Banker is not merely a service provider but a steward of national economic confidence. This historical weight influences customer expectations; clients in France Paris often demand a level of discretion and long-term relationship management that differs significantly from the transactional models prevalent in Anglo-Saxon financial centers.</w:t>
      </w:r>
    </w:p>
    <w:bookmarkEnd w:id="21"/>
    <w:bookmarkStart w:id="22" w:name="Xaffb08de200c46ef52a7f289deb1a16f6a5fbb5"/>
    <w:p>
      <w:pPr>
        <w:pStyle w:val="Heading2"/>
      </w:pPr>
      <w:r>
        <w:t xml:space="preserve">3. Regulatory Framework: The "Hors-Normes" Challenge</w:t>
      </w:r>
    </w:p>
    <w:p>
      <w:pPr>
        <w:pStyle w:val="FirstParagraph"/>
      </w:pPr>
      <w:r>
        <w:t xml:space="preserve">The operational environment for The Banker in France Paris is heavily dictated by stringent regulatory bodies, primarily the Autorité de Contrôle Prudentiel et de Résolution (ACPR) and the European Central Bank. This report highlights that compliance is not a backend function but a core competency of The Banker.</w:t>
      </w:r>
    </w:p>
    <w:p>
      <w:pPr>
        <w:pStyle w:val="BodyText"/>
      </w:pPr>
      <w:r>
        <w:rPr>
          <w:bCs/>
          <w:b/>
        </w:rPr>
        <w:t xml:space="preserve">Key Regulatory Aspects:</w:t>
      </w:r>
    </w:p>
    <w:p>
      <w:pPr>
        <w:numPr>
          <w:ilvl w:val="0"/>
          <w:numId w:val="1001"/>
        </w:numPr>
        <w:pStyle w:val="Compact"/>
      </w:pPr>
      <w:r>
        <w:rPr>
          <w:bCs/>
          <w:b/>
        </w:rPr>
        <w:t xml:space="preserve">MiFID II Compliance:</w:t>
      </w:r>
      <w:r>
        <w:t xml:space="preserve"> </w:t>
      </w:r>
      <w:r>
        <w:t xml:space="preserve">The Banker in France Paris must navigate complex rules regarding financial instruments transparency. This has shifted the role from product-push sales to advice-based relationships.</w:t>
      </w:r>
    </w:p>
    <w:p>
      <w:pPr>
        <w:numPr>
          <w:ilvl w:val="0"/>
          <w:numId w:val="1001"/>
        </w:numPr>
        <w:pStyle w:val="Compact"/>
      </w:pPr>
      <w:r>
        <w:rPr>
          <w:bCs/>
          <w:b/>
        </w:rPr>
        <w:t xml:space="preserve">Solvency III and Basel III:</w:t>
      </w:r>
      <w:r>
        <w:t xml:space="preserve"> </w:t>
      </w:r>
      <w:r>
        <w:t xml:space="preserve">These capital adequacy requirements ensure that The Banker operates within a framework of stability, protecting depositors in France Paris against systemic shocks.</w:t>
      </w:r>
    </w:p>
    <w:p>
      <w:pPr>
        <w:numPr>
          <w:ilvl w:val="0"/>
          <w:numId w:val="1001"/>
        </w:numPr>
        <w:pStyle w:val="Compact"/>
      </w:pPr>
      <w:r>
        <w:rPr>
          <w:bCs/>
          <w:b/>
        </w:rPr>
        <w:t xml:space="preserve">Anti-Money Laundering (AML):</w:t>
      </w:r>
      <w:r>
        <w:t xml:space="preserve"> </w:t>
      </w:r>
      <w:r>
        <w:t xml:space="preserve">French law imposes rigorous "Know Your Customer" (KYC) protocols. For The Banker, this means extensive due diligence processes that can slow down initial client interactions but enhance long-term security.</w:t>
      </w:r>
    </w:p>
    <w:bookmarkEnd w:id="22"/>
    <w:bookmarkStart w:id="23" w:name="Xc2a1bce0abf2904e556797e76c0a64685da5453"/>
    <w:p>
      <w:pPr>
        <w:pStyle w:val="Heading2"/>
      </w:pPr>
      <w:r>
        <w:t xml:space="preserve">4. The Digital Transformation: Fintech and Human Capital</w:t>
      </w:r>
    </w:p>
    <w:p>
      <w:pPr>
        <w:pStyle w:val="FirstParagraph"/>
      </w:pPr>
      <w:r>
        <w:t xml:space="preserve">A critical aspect of this lab report is the examination of how digitalization affects The Banker in France Paris. The rise of Neobanks (such as Fortuneo or Lys Bank) has forced traditional banks to adapt. However, data collected from branch networks in France Paris indicates a paradox: while transactional volumes have moved online, demand for high-net-worth advisory services provided by human The Bankers has increased.</w:t>
      </w:r>
    </w:p>
    <w:p>
      <w:pPr>
        <w:pStyle w:val="BodyText"/>
      </w:pPr>
      <w:r>
        <w:t xml:space="preserve">The modern The Banker in France Paris is a hybrid professional. They must possess the analytical skills to interpret algorithmic risk assessments while retaining the soft skills necessary to maintain *la relation client* (the client relationship). In Paris, where face-to-face interaction remains culturally significant for major financial decisions, The Banker serves as the human interface between complex digital infrastructure and individual client needs.</w:t>
      </w:r>
    </w:p>
    <w:bookmarkEnd w:id="23"/>
    <w:bookmarkStart w:id="24" w:name="cultural-nuances-etiquette-and-trust"/>
    <w:p>
      <w:pPr>
        <w:pStyle w:val="Heading2"/>
      </w:pPr>
      <w:r>
        <w:t xml:space="preserve">5. Cultural Nuances: Etiquette and Trust</w:t>
      </w:r>
    </w:p>
    <w:p>
      <w:pPr>
        <w:pStyle w:val="FirstParagraph"/>
      </w:pPr>
      <w:r>
        <w:t xml:space="preserve">The conduct of The Banker is heavily influenced by French cultural norms. This report identifies "Courtoisie" (courtesy) and "Confidentialité" (confidentiality) as paramount values in France Paris. Unlike more direct communication styles found in other global markets, The Banker in France Paris employs a nuanced communication strategy. Building trust takes longer but results in deeper, more resilient client relationships.</w:t>
      </w:r>
    </w:p>
    <w:p>
      <w:pPr>
        <w:pStyle w:val="BodyText"/>
      </w:pPr>
      <w:r>
        <w:t xml:space="preserve">Furthermore, the concept of *patrimoine* (wealth/heritage) is central to banking in France Paris. The Banker does not just manage assets; they help preserve and transfer wealth across generations. This requires a holistic approach involving inheritance law (*droit successoral*), tax planning, and real estate investment. Therefore, The Banker in this region often functions partially as a legal and fiscal advisor.</w:t>
      </w:r>
    </w:p>
    <w:bookmarkEnd w:id="24"/>
    <w:bookmarkStart w:id="25" w:name="X9f623e9d48c403135ee88df7a1f44009a9ddc94"/>
    <w:p>
      <w:pPr>
        <w:pStyle w:val="Heading2"/>
      </w:pPr>
      <w:r>
        <w:t xml:space="preserve">6. Comparative Analysis: France Paris vs. Global Hubs</w:t>
      </w:r>
    </w:p>
    <w:p>
      <w:pPr>
        <w:pStyle w:val="FirstParagraph"/>
      </w:pPr>
      <w:r>
        <w:rPr>
          <w:bCs/>
          <w:b/>
        </w:rPr>
        <w:t xml:space="preserve">Aspect</w:t>
      </w:r>
    </w:p>
    <w:p>
      <w:pPr>
        <w:pStyle w:val="BodyText"/>
      </w:pPr>
      <w:r>
        <w:rPr>
          <w:bCs/>
          <w:b/>
        </w:rPr>
        <w:t xml:space="preserve">The Banker in France Paris</w:t>
      </w:r>
    </w:p>
    <w:p>
      <w:pPr>
        <w:pStyle w:val="BodyText"/>
      </w:pPr>
      <w:r>
        <w:rPr>
          <w:bCs/>
          <w:b/>
        </w:rPr>
        <w:t xml:space="preserve">The Banker in London/NYC</w:t>
      </w:r>
    </w:p>
    <w:p>
      <w:pPr>
        <w:pStyle w:val="BodyText"/>
      </w:pPr>
      <w:r>
        <w:rPr>
          <w:iCs/>
          <w:i/>
        </w:rPr>
        <w:t xml:space="preserve">Risk Appetite</w:t>
      </w:r>
    </w:p>
    <w:p>
      <w:pPr>
        <w:pStyle w:val="BodyText"/>
      </w:pPr>
      <w:r>
        <w:t xml:space="preserve">Cautious; prioritizes capital preservation.</w:t>
      </w:r>
    </w:p>
    <w:p>
      <w:pPr>
        <w:pStyle w:val="BodyText"/>
      </w:pPr>
      <w:r>
        <w:t xml:space="preserve">Moderate to High; prioritizes yield.</w:t>
      </w:r>
    </w:p>
    <w:p>
      <w:pPr>
        <w:pStyle w:val="BodyText"/>
      </w:pPr>
      <w:r>
        <w:rPr>
          <w:iCs/>
          <w:i/>
        </w:rPr>
        <w:t xml:space="preserve">Cultural Focus</w:t>
      </w:r>
    </w:p>
    <w:p>
      <w:pPr>
        <w:pStyle w:val="BodyText"/>
      </w:pPr>
      <w:r>
        <w:t xml:space="preserve">Relationship-based, formal hierarchy.</w:t>
      </w:r>
    </w:p>
    <w:p>
      <w:pPr>
        <w:pStyle w:val="BodyText"/>
      </w:pPr>
      <w:r>
        <w:t xml:space="preserve">Purely transactional, meritocratic.</w:t>
      </w:r>
    </w:p>
    <w:p>
      <w:pPr>
        <w:pStyle w:val="BodyText"/>
      </w:pPr>
      <w:r>
        <w:t xml:space="preserve">.</w:t>
      </w:r>
    </w:p>
    <w:p>
      <w:pPr>
        <w:pStyle w:val="BodyText"/>
      </w:pPr>
      <w:r>
        <w:rPr>
          <w:iCs/>
          <w:i/>
        </w:rPr>
        <w:t xml:space="preserve">Tax Optimization</w:t>
      </w:r>
    </w:p>
    <w:p>
      <w:pPr>
        <w:pStyle w:val="BodyText"/>
      </w:pPr>
      <w:r>
        <w:t xml:space="preserve">Critical component of service offerings (e.g., assurance-vie).</w:t>
      </w:r>
    </w:p>
    <w:p>
      <w:pPr>
        <w:pStyle w:val="BodyText"/>
      </w:pPr>
      <w:r>
        <w:t xml:space="preserve">. .</w:t>
      </w:r>
    </w:p>
    <w:p>
      <w:pPr>
        <w:pStyle w:val="BodyText"/>
      </w:pPr>
      <w:r>
        <w:t xml:space="preserve">.. &gt;...</w:t>
      </w:r>
    </w:p>
    <w:p>
      <w:pPr>
        <w:pStyle w:val="BodyText"/>
      </w:pPr>
      <w:r>
        <w:rPr>
          <w:iCs/>
          <w:i/>
        </w:rPr>
        <w:t xml:space="preserve">Note: This Lab Report was generated to analyze the specific professional behaviors and regulatory constraints applicable to financial institutions located in France Paris. All data reflects general industry trends observed in major French banking centers such as La Défense and the Île-de-France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Banker in France Paris</dc:title>
  <dc:creator/>
  <dc:language>en</dc:language>
  <cp:keywords/>
  <dcterms:created xsi:type="dcterms:W3CDTF">2026-07-29T18:38:49Z</dcterms:created>
  <dcterms:modified xsi:type="dcterms:W3CDTF">2026-07-29T18:38:49Z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