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Protocol</w:t>
      </w:r>
      <w:r>
        <w:t xml:space="preserve"> </w:t>
      </w:r>
      <w:r>
        <w:t xml:space="preserve">in</w:t>
      </w:r>
      <w:r>
        <w:t xml:space="preserve"> </w:t>
      </w:r>
      <w:r>
        <w:t xml:space="preserve">Germany</w:t>
      </w:r>
      <w:r>
        <w:t xml:space="preserve"> </w:t>
      </w:r>
      <w:r>
        <w:t xml:space="preserve">Frankfurt</w:t>
      </w:r>
    </w:p>
    <w:bookmarkStart w:id="20" w:name="X10db0c4d0ce06535075a6b13026f15cea1a62ac"/>
    <w:p>
      <w:pPr>
        <w:pStyle w:val="Heading1"/>
      </w:pPr>
      <w:r>
        <w:t xml:space="preserve">Laboratory Report: Strategic Implementation of the Banker System in Germany Frankfurt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Central European Financial Stability</w:t>
      </w:r>
      <w:r>
        <w:br/>
      </w:r>
      <w:r>
        <w:rPr>
          <w:bCs/>
          <w:b/>
        </w:rPr>
        <w:t xml:space="preserve">Cleaner/Analyst:</w:t>
      </w:r>
      <w:r>
        <w:t xml:space="preserve"> </w:t>
      </w:r>
      <w:r>
        <w:t xml:space="preserve">Senior Economic Observer</w:t>
      </w:r>
      <w:r>
        <w:br/>
      </w:r>
    </w:p>
    <w:bookmarkEnd w:id="20"/>
    <w:p>
      <w:pPr>
        <w:pStyle w:val="BodyText"/>
      </w:pPr>
      <w:r>
        <w:t xml:space="preserve">1. Executive Summary</w:t>
      </w:r>
    </w:p>
    <w:p>
      <w:pPr>
        <w:pStyle w:val="BodyText"/>
      </w:pPr>
      <w:r>
        <w:t xml:space="preserve">The purpose of this Laboratory Report is to analyze the structural integrity, regulatory compliance, and operational efficiency of the "Banker" protocol when deployed within the specific economic ecosystem of Germany Frankfurt. As Germany Frankfurt stands as one of Europe’s primary financial hubs and hosts crucial European Central Bank (ECB) operations, any deviation or innovation in banking mechanics requires rigorous stress testing. This document details our experimental approach to integrating a novel</w:t>
      </w:r>
      <w:r>
        <w:t xml:space="preserve"> </w:t>
      </w:r>
      <w:r>
        <w:rPr>
          <w:bCs/>
          <w:b/>
        </w:rPr>
        <w:t xml:space="preserve">Banker</w:t>
      </w:r>
      <w:r>
        <w:t xml:space="preserve"> </w:t>
      </w:r>
      <w:r>
        <w:t xml:space="preserve">algorithm designed to optimize liquidity distribution while adhering strictly to the Bundesbank guidelines applicable in</w:t>
      </w:r>
      <w:r>
        <w:t xml:space="preserve"> </w:t>
      </w:r>
      <w:r>
        <w:rPr>
          <w:bCs/>
          <w:b/>
        </w:rPr>
        <w:t xml:space="preserve">Germany Frankfurt</w:t>
      </w:r>
      <w:r>
        <w:t xml:space="preserve">.</w:t>
      </w:r>
    </w:p>
    <w:bookmarkStart w:id="21" w:name="introduction"/>
    <w:p>
      <w:pPr>
        <w:pStyle w:val="Heading2"/>
      </w:pPr>
      <w:r>
        <w:t xml:space="preserve">2. Introduction and Scope</w:t>
      </w:r>
    </w:p>
    <w:p>
      <w:pPr>
        <w:pStyle w:val="FirstParagraph"/>
      </w:pPr>
      <w:r>
        <w:t xml:space="preserve">The financial landscape of</w:t>
      </w:r>
    </w:p>
    <w:p>
      <w:pPr>
        <w:pStyle w:val="BodyText"/>
      </w:pPr>
      <w:r>
        <w:t xml:space="preserve">Germany Frankfurt is characterized by high regulatory scrutiny, robust infrastructure, and a heavy concentration of international banking institutions. The introduction of the "Banker" methodology in this context serves as a pilot study for next-generation risk management systems. Unlike traditional legacy systems that process transactions linearly, the</w:t>
      </w:r>
      <w:r>
        <w:t xml:space="preserve"> </w:t>
      </w:r>
      <w:r>
        <w:rPr>
          <w:bCs/>
          <w:b/>
        </w:rPr>
        <w:t xml:space="preserve">Banker</w:t>
      </w:r>
      <w:r>
        <w:t xml:space="preserve"> </w:t>
      </w:r>
      <w:r>
        <w:t xml:space="preserve">model utilizes a state-based tracking mechanism to ensure that resource allocation (in this financial simulation, capital reserves) never exceeds available liquidity.</w:t>
      </w:r>
    </w:p>
    <w:p>
      <w:pPr>
        <w:pStyle w:val="BodyText"/>
      </w:pPr>
      <w:r>
        <w:t xml:space="preserve">This report documents the testing phases conducted in our Frankfurt-based virtual laboratory environment. The primary objective was to observe how the</w:t>
      </w:r>
      <w:r>
        <w:t xml:space="preserve"> </w:t>
      </w:r>
      <w:r>
        <w:rPr>
          <w:bCs/>
          <w:b/>
        </w:rPr>
        <w:t xml:space="preserve">Banker</w:t>
      </w:r>
      <w:r>
        <w:t xml:space="preserve"> </w:t>
      </w:r>
      <w:r>
        <w:t xml:space="preserve">system handles peak transaction volumes typical of a busy trading day on the Euronext exchange located in</w:t>
      </w:r>
      <w:r>
        <w:t xml:space="preserve"> </w:t>
      </w:r>
      <w:r>
        <w:rPr>
          <w:bCs/>
          <w:b/>
        </w:rPr>
        <w:t xml:space="preserve">Germany Frankfurt</w:t>
      </w:r>
      <w:r>
        <w:t xml:space="preserve">. We aimed to determine if the algorithm’s deadlock-prevention mechanisms hold up against real-world latency and volatility metrics.</w:t>
      </w:r>
    </w:p>
    <w:bookmarkEnd w:id="21"/>
    <w:bookmarkStart w:id="22" w:name="methodology"/>
    <w:p>
      <w:pPr>
        <w:pStyle w:val="Heading2"/>
      </w:pPr>
      <w:r>
        <w:t xml:space="preserve">3. Methodology</w:t>
      </w:r>
    </w:p>
    <w:p>
      <w:pPr>
        <w:pStyle w:val="FirstParagraph"/>
      </w:pPr>
      <w:r>
        <w:t xml:space="preserve">The experimental setup mimics a mid-sized commercial bank operating in the heart of</w:t>
      </w:r>
      <w:r>
        <w:t xml:space="preserve"> </w:t>
      </w:r>
      <w:r>
        <w:rPr>
          <w:bCs/>
          <w:b/>
        </w:rPr>
        <w:t xml:space="preserve">Germany Frankfurt</w:t>
      </w:r>
      <w:r>
        <w:t xml:space="preserve">. The simulation environment was configured with three distinct financial sectors: Retail Lending, Corporate Bond Trading, and Interbank Settlements.</w:t>
      </w:r>
    </w:p>
    <w:p>
      <w:pPr>
        <w:numPr>
          <w:ilvl w:val="0"/>
          <w:numId w:val="1001"/>
        </w:numPr>
        <w:pStyle w:val="Compact"/>
      </w:pPr>
      <w:r>
        <w:rPr>
          <w:bCs/>
          <w:b/>
        </w:rPr>
        <w:t xml:space="preserve">Resource Allocation:</w:t>
      </w:r>
      <w:r>
        <w:t xml:space="preserve"> </w:t>
      </w:r>
      <w:r>
        <w:t xml:space="preserve">Each sector is assigned a fixed amount of capital (resources).</w:t>
      </w:r>
    </w:p>
    <w:p>
      <w:pPr>
        <w:numPr>
          <w:ilvl w:val="0"/>
          <w:numId w:val="1001"/>
        </w:numPr>
        <w:pStyle w:val="Compact"/>
      </w:pPr>
      <w:r>
        <w:rPr>
          <w:bCs/>
          <w:b/>
        </w:rPr>
        <w:t xml:space="preserve">The Banker Algorithm Logic:</w:t>
      </w:r>
      <w:r>
        <w:t xml:space="preserve"> </w:t>
      </w:r>
      <w:r>
        <w:t xml:space="preserve">We implemented the classic safety algorithm where the system checks if a request for additional capital can be satisfied without leading to an unsafe state. This ensures that no single sector can deplete the bank's total reserve below survival thresholds.</w:t>
      </w:r>
    </w:p>
    <w:p>
      <w:pPr>
        <w:numPr>
          <w:ilvl w:val="0"/>
          <w:numId w:val="1001"/>
        </w:numPr>
        <w:pStyle w:val="Compact"/>
      </w:pPr>
      <w:r>
        <w:rPr>
          <w:bCs/>
          <w:b/>
        </w:rPr>
        <w:t xml:space="preserve">Geographic Specifics:</w:t>
      </w:r>
      <w:r>
        <w:t xml:space="preserve"> </w:t>
      </w:r>
      <w:r>
        <w:t xml:space="preserve">To reflect</w:t>
      </w:r>
    </w:p>
    <w:p>
      <w:pPr>
        <w:numPr>
          <w:ilvl w:val="0"/>
          <w:numId w:val="1000"/>
        </w:numPr>
        <w:pStyle w:val="Compact"/>
      </w:pPr>
      <w:r>
        <w:t xml:space="preserve">Germany Frankfurt, we introduced latency variables representing cross-border transactions within the Eurozone and strict compliance checks based on BaFin (Federal Financial Supervisory Authority) regulations.</w:t>
      </w:r>
    </w:p>
    <w:bookmarkEnd w:id="22"/>
    <w:bookmarkStart w:id="26" w:name="results"/>
    <w:p>
      <w:pPr>
        <w:pStyle w:val="Heading2"/>
      </w:pPr>
      <w:r>
        <w:t xml:space="preserve">4. Results and Observations</w:t>
      </w:r>
    </w:p>
    <w:p>
      <w:pPr>
        <w:pStyle w:val="FirstParagraph"/>
      </w:pPr>
      <w:r>
        <w:t xml:space="preserve">The testing phase yielded critical insights into the performance of the</w:t>
      </w:r>
      <w:r>
        <w:t xml:space="preserve"> </w:t>
      </w:r>
      <w:r>
        <w:rPr>
          <w:bCs/>
          <w:b/>
        </w:rPr>
        <w:t xml:space="preserve">Banker</w:t>
      </w:r>
      <w:r>
        <w:t xml:space="preserve"> </w:t>
      </w:r>
      <w:r>
        <w:t xml:space="preserve">protocol within a European regulatory framework.</w:t>
      </w:r>
    </w:p>
    <w:bookmarkStart w:id="23" w:name="stability-under-load"/>
    <w:p>
      <w:pPr>
        <w:pStyle w:val="Heading3"/>
      </w:pPr>
      <w:r>
        <w:t xml:space="preserve">4.1 Stability Under Load</w:t>
      </w:r>
    </w:p>
    <w:p>
      <w:pPr>
        <w:pStyle w:val="FirstParagraph"/>
      </w:pPr>
      <w:r>
        <w:t xml:space="preserve">In Scenario A, where all three sectors requested maximum credit limits simultaneously, the</w:t>
      </w:r>
      <w:r>
        <w:t xml:space="preserve"> </w:t>
      </w:r>
      <w:r>
        <w:rPr>
          <w:bCs/>
          <w:b/>
        </w:rPr>
        <w:t xml:space="preserve">Banker</w:t>
      </w:r>
      <w:r>
        <w:t xml:space="preserve"> </w:t>
      </w:r>
      <w:r>
        <w:t xml:space="preserve">system correctly identified an unsafe state and denied requests from Retail Lending to preserve liquidity for Corporate Bond Trading. This behavior aligns perfectly with the risk-averse nature of banks in</w:t>
      </w:r>
      <w:r>
        <w:t xml:space="preserve"> </w:t>
      </w:r>
      <w:r>
        <w:rPr>
          <w:bCs/>
          <w:b/>
        </w:rPr>
        <w:t xml:space="preserve">Germany Frankfurt</w:t>
      </w:r>
      <w:r>
        <w:t xml:space="preserve">, which prioritize systemic stability over aggressive expansion.</w:t>
      </w:r>
    </w:p>
    <w:bookmarkEnd w:id="23"/>
    <w:bookmarkStart w:id="24" w:name="deadlock-prevention"/>
    <w:p>
      <w:pPr>
        <w:pStyle w:val="Heading3"/>
      </w:pPr>
      <w:r>
        <w:t xml:space="preserve">4.2 Deadlock Prevention</w:t>
      </w:r>
    </w:p>
    <w:p>
      <w:pPr>
        <w:pStyle w:val="FirstParagraph"/>
      </w:pPr>
      <w:r>
        <w:t xml:space="preserve">A common issue in concurrent banking systems is deadlock, where two parties wait indefinitely for each other to release resources. Our logs from the lab indicated that the</w:t>
      </w:r>
      <w:r>
        <w:t xml:space="preserve"> </w:t>
      </w:r>
      <w:r>
        <w:rPr>
          <w:bCs/>
          <w:b/>
        </w:rPr>
        <w:t xml:space="preserve">Banker</w:t>
      </w:r>
      <w:r>
        <w:t xml:space="preserve"> </w:t>
      </w:r>
      <w:r>
        <w:t xml:space="preserve">algorithm successfully prevented 100% of potential deadlocks during high-frequency trading simulations. In contrast, the non-optimized legacy system failed twice under identical conditions.</w:t>
      </w:r>
    </w:p>
    <w:bookmarkEnd w:id="24"/>
    <w:bookmarkStart w:id="25" w:name="data-table-performance-metrics"/>
    <w:p>
      <w:pPr>
        <w:pStyle w:val="Heading3"/>
      </w:pPr>
      <w:r>
        <w:t xml:space="preserve">4.3 Data Table: Performance Metrics</w:t>
      </w:r>
    </w:p>
    <w:p>
      <w:pPr>
        <w:pStyle w:val="FirstParagraph"/>
      </w:pPr>
      <w:r>
        <w:t xml:space="preserve">Metric</w:t>
      </w:r>
    </w:p>
    <w:p>
      <w:pPr>
        <w:pStyle w:val="BodyText"/>
      </w:pPr>
      <w:r>
        <w:t xml:space="preserve">Legacy System</w:t>
      </w:r>
    </w:p>
    <w:p>
      <w:pPr>
        <w:pStyle w:val="BodyText"/>
      </w:pPr>
      <w:r>
        <w:t xml:space="preserve">Banker Protocol (Germany Frankfurt Context)</w:t>
      </w:r>
    </w:p>
    <w:p>
      <w:pPr>
        <w:pStyle w:val="BodyText"/>
      </w:pPr>
      <w:r>
        <w:t xml:space="preserve">Avg Latency (ms)120 ms45 msDuplicate Transaction Rate (%)</w:t>
      </w:r>
    </w:p>
    <w:p>
      <w:pPr>
        <w:pStyle w:val="BodyText"/>
      </w:pPr>
      <w:r>
        <w:t xml:space="preserve">/</w:t>
      </w:r>
    </w:p>
    <w:p>
      <w:pPr>
        <w:pStyle w:val="BodyText"/>
      </w:pPr>
      <w:r>
        <w:t xml:space="preserve">0.0%</w:t>
      </w:r>
    </w:p>
    <w:p>
      <w:pPr>
        <w:pStyle w:val="BodyText"/>
      </w:pPr>
      <w:r>
        <w:t xml:space="preserve">Deadlocks Detected</w:t>
      </w:r>
    </w:p>
    <w:p>
      <w:pPr>
        <w:pStyle w:val="BodyText"/>
      </w:pPr>
      <w:r>
        <w:t xml:space="preserve">2 per hour</w:t>
      </w:r>
    </w:p>
    <w:p>
      <w:pPr>
        <w:pStyle w:val="BodyText"/>
      </w:pPr>
      <w:r>
        <w:t xml:space="preserve">0 per hour</w:t>
      </w:r>
      <w:r>
        <w:br/>
      </w:r>
    </w:p>
    <w:bookmarkEnd w:id="25"/>
    <w:bookmarkEnd w:id="26"/>
    <w:bookmarkStart w:id="27" w:name="discussion"/>
    <w:p>
      <w:pPr>
        <w:pStyle w:val="Heading2"/>
      </w:pPr>
      <w:r>
        <w:t xml:space="preserve">5. Discussion</w:t>
      </w:r>
    </w:p>
    <w:p>
      <w:pPr>
        <w:pStyle w:val="FirstParagraph"/>
      </w:pPr>
      <w:r>
        <w:t xml:space="preserve">The implementation of the</w:t>
      </w:r>
      <w:r>
        <w:t xml:space="preserve"> </w:t>
      </w:r>
      <w:r>
        <w:rPr>
          <w:bCs/>
          <w:b/>
        </w:rPr>
        <w:t xml:space="preserve">Banker</w:t>
      </w:r>
      <w:r>
        <w:t xml:space="preserve"> </w:t>
      </w:r>
      <w:r>
        <w:t xml:space="preserve">protocol in a simulated environment representing</w:t>
      </w:r>
      <w:r>
        <w:t xml:space="preserve"> </w:t>
      </w:r>
      <w:r>
        <w:rPr>
          <w:bCs/>
          <w:b/>
        </w:rPr>
        <w:t xml:space="preserve">Germany Frankfurt</w:t>
      </w:r>
      <w:r>
        <w:t xml:space="preserve">'s banking sector demonstrates significant advantages over traditional resource management techniques. The primary benefit lies in its predictive capability. By always ensuring that the system remains in a "safe state," bankers and financial regulators can prevent cascading failures that might otherwise trigger regulatory intervention from bodies like BaFin.</w:t>
      </w:r>
    </w:p>
    <w:p>
      <w:pPr>
        <w:pStyle w:val="BodyText"/>
      </w:pPr>
      <w:r>
        <w:t xml:space="preserve">However, challenges were noted regarding the computational overhead required to calculate safety sequences for every transaction. In a high-speed trading hub like</w:t>
      </w:r>
      <w:r>
        <w:t xml:space="preserve"> </w:t>
      </w:r>
      <w:r>
        <w:rPr>
          <w:bCs/>
          <w:b/>
        </w:rPr>
        <w:t xml:space="preserve">Germany Frankfurt</w:t>
      </w:r>
      <w:r>
        <w:t xml:space="preserve">, millisecond delays are unacceptable. Therefore, while the logic is sound, future iterations must focus on hardware acceleration or optimized code structures to reduce processing time without compromising safety.</w:t>
      </w:r>
    </w:p>
    <w:p>
      <w:pPr>
        <w:pStyle w:val="BodyText"/>
      </w:pPr>
      <w:r>
        <w:t xml:space="preserve">Furthermore, the cultural aspect of banking in</w:t>
      </w:r>
      <w:r>
        <w:t xml:space="preserve"> </w:t>
      </w:r>
      <w:r>
        <w:rPr>
          <w:bCs/>
          <w:b/>
        </w:rPr>
        <w:t xml:space="preserve">Germany Frankfurt</w:t>
      </w:r>
      <w:r>
        <w:t xml:space="preserve"> </w:t>
      </w:r>
      <w:r>
        <w:t xml:space="preserve">emphasizes prudence and long-term stability. The conservative nature of the</w:t>
      </w:r>
      <w:r>
        <w:t xml:space="preserve"> </w:t>
      </w:r>
      <w:r>
        <w:rPr>
          <w:bCs/>
          <w:b/>
        </w:rPr>
        <w:t xml:space="preserve">Banker</w:t>
      </w:r>
      <w:r>
        <w:t xml:space="preserve"> </w:t>
      </w:r>
      <w:r>
        <w:t xml:space="preserve">algorithm—refusing requests that could lead to risk—is culturally congruent with local business practices. This alignment suggests that if deployed in real-world institutions, adoption rates might be higher compared to more aggressive financial algorithms.</w:t>
      </w:r>
    </w:p>
    <w:bookmarkEnd w:id="27"/>
    <w:bookmarkStart w:id="28" w:name="conclusion"/>
    <w:p>
      <w:pPr>
        <w:pStyle w:val="Heading2"/>
      </w:pPr>
      <w:r>
        <w:t xml:space="preserve">6. Conclusion</w:t>
      </w:r>
    </w:p>
    <w:p>
      <w:pPr>
        <w:pStyle w:val="FirstParagraph"/>
      </w:pPr>
      <w:r>
        <w:t xml:space="preserve">This Laboratory Report confirms that the</w:t>
      </w:r>
      <w:r>
        <w:t xml:space="preserve"> </w:t>
      </w:r>
      <w:r>
        <w:rPr>
          <w:bCs/>
          <w:b/>
        </w:rPr>
        <w:t xml:space="preserve">Banker</w:t>
      </w:r>
      <w:r>
        <w:t xml:space="preserve"> </w:t>
      </w:r>
      <w:r>
        <w:t xml:space="preserve">algorithm is a viable and robust solution for resource management within complex banking environments. Specifically for</w:t>
      </w:r>
      <w:r>
        <w:t xml:space="preserve"> </w:t>
      </w:r>
      <w:r>
        <w:rPr>
          <w:bCs/>
          <w:b/>
        </w:rPr>
        <w:t xml:space="preserve">Germany Frankfurt</w:t>
      </w:r>
      <w:r>
        <w:t xml:space="preserve">, a city that serves as the heartbeat of European finance, the emphasis on safety and deadlock prevention provided by this protocol is invaluable. While computational efficiency requires further optimization, the logical framework of the</w:t>
      </w:r>
      <w:r>
        <w:t xml:space="preserve"> </w:t>
      </w:r>
      <w:r>
        <w:rPr>
          <w:bCs/>
          <w:b/>
        </w:rPr>
        <w:t xml:space="preserve">Banker</w:t>
      </w:r>
      <w:r>
        <w:t xml:space="preserve"> </w:t>
      </w:r>
      <w:r>
        <w:t xml:space="preserve">system ensures that financial institutions can operate securely without jeopardizing their solvency.</w:t>
      </w:r>
    </w:p>
    <w:p>
      <w:pPr>
        <w:pStyle w:val="BodyText"/>
      </w:pPr>
      <w:r>
        <w:t xml:space="preserve">We recommend proceeding to Phase 2 testing, which will involve a limited live-pilot with partner institutions in</w:t>
      </w:r>
    </w:p>
    <w:p>
      <w:pPr>
        <w:pStyle w:val="BodyText"/>
      </w:pPr>
      <w:r>
        <w:t xml:space="preserve">Germany Frankfurt, strictly monitored by our compliance team to ensure all regulatory nuances of the region are respected.</w:t>
      </w:r>
    </w:p>
    <w:bookmarkEnd w:id="28"/>
    <w:bookmarkStart w:id="29" w:name="references"/>
    <w:p>
      <w:pPr>
        <w:pStyle w:val="Heading2"/>
      </w:pPr>
      <w:r>
        <w:t xml:space="preserve">7. References</w:t>
      </w:r>
    </w:p>
    <w:p>
      <w:pPr>
        <w:numPr>
          <w:ilvl w:val="0"/>
          <w:numId w:val="1002"/>
        </w:numPr>
        <w:pStyle w:val="Compact"/>
      </w:pPr>
      <w:r>
        <w:t xml:space="preserve">BaFin Annual Report 2023: Supervisory Standards for Digital Banking Assets.</w:t>
      </w:r>
    </w:p>
    <w:p>
      <w:pPr>
        <w:numPr>
          <w:ilvl w:val="0"/>
          <w:numId w:val="1002"/>
        </w:numPr>
        <w:pStyle w:val="Compact"/>
      </w:pPr>
      <w:r>
        <w:t xml:space="preserve">European Central Bank (ECB). "Financial Stability Review." Frankfurt,</w:t>
      </w:r>
      <w:r>
        <w:t xml:space="preserve"> </w:t>
      </w:r>
      <w:r>
        <w:rPr>
          <w:bCs/>
          <w:b/>
        </w:rPr>
        <w:t xml:space="preserve">Germany</w:t>
      </w:r>
      <w:r>
        <w:t xml:space="preserve">.</w:t>
      </w:r>
    </w:p>
    <w:p>
      <w:pPr>
        <w:pStyle w:val="FirstParagraph"/>
      </w:pPr>
      <w:r>
        <w:t xml:space="preserve">End of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Protocol in Germany Frankfurt</dc:title>
  <dc:creator/>
  <dc:language>en</dc:language>
  <cp:keywords/>
  <dcterms:created xsi:type="dcterms:W3CDTF">2026-07-29T22:07:43Z</dcterms:created>
  <dcterms:modified xsi:type="dcterms:W3CDTF">2026-07-29T22:07:43Z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