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Protocols</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lab-report"/>
    <w:p>
      <w:pPr>
        <w:pStyle w:val="Heading1"/>
      </w:pPr>
      <w:r>
        <w:t xml:space="preserve">Lab Report</w:t>
      </w:r>
    </w:p>
    <w:p>
      <w:pPr>
        <w:pStyle w:val="FirstParagraph"/>
      </w:pPr>
      <w:r>
        <w:rPr>
          <w:bCs/>
          <w:b/>
        </w:rPr>
        <w:t xml:space="preserve">Title:</w:t>
      </w:r>
      <w:r>
        <w:t xml:space="preserve"> </w:t>
      </w:r>
      <w:r>
        <w:t xml:space="preserve">Strategic Implementation of Banker Protocols in Malaysia Kuala Lumpur</w:t>
      </w:r>
      <w:r>
        <w:br/>
      </w:r>
    </w:p>
    <w:p>
      <w:pPr>
        <w:pStyle w:val="BodyText"/>
      </w:pPr>
      <w:r>
        <w:rPr>
          <w:bCs/>
          <w:b/>
        </w:rPr>
        <w:t xml:space="preserve">Date:</w:t>
      </w:r>
      <w:r>
        <w:t xml:space="preserve"> </w:t>
      </w:r>
      <w:r>
        <w:t xml:space="preserve">October 26, 2023</w:t>
      </w:r>
      <w:r>
        <w:br/>
      </w:r>
    </w:p>
    <w:p>
      <w:pPr>
        <w:pStyle w:val="BodyText"/>
      </w:pPr>
      <w:r>
        <w:rPr>
          <w:bCs/>
          <w:b/>
        </w:rPr>
        <w:t xml:space="preserve">Location:</w:t>
      </w:r>
      <w:r>
        <w:t xml:space="preserve"> </w:t>
      </w:r>
      <w:r>
        <w:t xml:space="preserve">Financial District, Malaysia Kuala Lumpur</w:t>
      </w:r>
    </w:p>
    <w:p>
      <w:pPr>
        <w:pStyle w:val="BodyText"/>
      </w:pPr>
      <w:r>
        <w:rPr>
          <w:bCs/>
          <w:b/>
        </w:rPr>
        <w:t xml:space="preserve">Preliminary Number:</w:t>
      </w:r>
      <w:r>
        <w:t xml:space="preserve">MKL-BNK-045</w:t>
      </w:r>
    </w:p>
    <w:bookmarkStart w:id="20" w:name="abstract"/>
    <w:p>
      <w:pPr>
        <w:pStyle w:val="Heading2"/>
      </w:pPr>
      <w:r>
        <w:t xml:space="preserve">Abstract</w:t>
      </w:r>
    </w:p>
    <w:p>
      <w:pPr>
        <w:pStyle w:val="FirstParagraph"/>
      </w:pPr>
      <w:r>
        <w:t xml:space="preserve">This Lab Report details the comprehensive analysis and simulation of banking operational frameworks specifically tailored for the dynamic economic environment of Malaysia Kuala Lumpur. The primary objective was to evaluate the efficacy of traditional "Banker" methodologies when adapted to modern digital banking standards within a Southeast Asian metropolis. By integrating local regulatory compliance from Bank Negara Malaysia with global financial security protocols, this study aims to provide a robust model for institutional stability in Malaysia Kuala Lumpur.</w:t>
      </w:r>
    </w:p>
    <w:bookmarkEnd w:id="20"/>
    <w:bookmarkStart w:id="21" w:name="introduction"/>
    <w:p>
      <w:pPr>
        <w:pStyle w:val="Heading2"/>
      </w:pPr>
      <w:r>
        <w:t xml:space="preserve">1. Introduction</w:t>
      </w:r>
    </w:p>
    <w:p>
      <w:pPr>
        <w:pStyle w:val="FirstParagraph"/>
      </w:pPr>
      <w:r>
        <w:t xml:space="preserve">The financial landscape of Malaysia Kuala Lumpur has undergone significant transformation over the past decade. As a burgeoning hub for digital finance and Islamic banking, the region requires rigorous testing of its core operational logic. This Lab Report serves as a documentation of this evaluation process, focusing on the role of the "Banker" as both a physical institution and a systemic function within Malaysia Kuala Lumpur.</w:t>
      </w:r>
    </w:p>
    <w:p>
      <w:pPr>
        <w:pStyle w:val="BodyText"/>
      </w:pPr>
      <w:r>
        <w:t xml:space="preserve">The term "Banker" in this context refers not only to individual financial advisors or executive officers but also to the algorithmic systems that govern liquidity, risk assessment, and transaction verification. The scope of this investigation is strictly limited to the geographical and regulatory boundaries of Malaysia Kuala Lumpur, ensuring that all findings are locally relevant and applicable.</w:t>
      </w:r>
    </w:p>
    <w:bookmarkEnd w:id="21"/>
    <w:bookmarkStart w:id="22" w:name="objectives"/>
    <w:p>
      <w:pPr>
        <w:pStyle w:val="Heading2"/>
      </w:pPr>
      <w:r>
        <w:t xml:space="preserve">2. Objectives</w:t>
      </w:r>
    </w:p>
    <w:p>
      <w:pPr>
        <w:numPr>
          <w:ilvl w:val="0"/>
          <w:numId w:val="1001"/>
        </w:numPr>
        <w:pStyle w:val="Compact"/>
      </w:pPr>
      <w:r>
        <w:t xml:space="preserve">To analyze the current operational capacity of Banker entities in Malaysia Kuala Lumpur.</w:t>
      </w:r>
    </w:p>
    <w:p>
      <w:pPr>
        <w:numPr>
          <w:ilvl w:val="0"/>
          <w:numId w:val="1001"/>
        </w:numPr>
        <w:pStyle w:val="Compact"/>
      </w:pPr>
      <w:r>
        <w:t xml:space="preserve">To simulate stress tests on local banking infrastructure to ensure resilience against market volatility.</w:t>
      </w:r>
    </w:p>
    <w:p>
      <w:pPr>
        <w:numPr>
          <w:ilvl w:val="0"/>
          <w:numId w:val="1001"/>
        </w:numPr>
        <w:pStyle w:val="Compact"/>
      </w:pPr>
      <w:r>
        <w:t xml:space="preserve">To evaluate the integration of Shariah-compliant banking principles within standard "Banker" frameworks in Malaysia Kuala Lumpur.</w:t>
      </w:r>
    </w:p>
    <w:p>
      <w:pPr>
        <w:numPr>
          <w:ilvl w:val="0"/>
          <w:numId w:val="1001"/>
        </w:numPr>
        <w:pStyle w:val="Compact"/>
      </w:pPr>
      <w:r>
        <w:t xml:space="preserve">To propose standardized protocols for digital currency adoption that respect local laws in Malaysia Kuala Lumpur.</w:t>
      </w:r>
    </w:p>
    <w:bookmarkEnd w:id="22"/>
    <w:bookmarkStart w:id="23" w:name="methodology"/>
    <w:p>
      <w:pPr>
        <w:pStyle w:val="Heading2"/>
      </w:pPr>
      <w:r>
        <w:t xml:space="preserve">3. Methodology</w:t>
      </w:r>
    </w:p>
    <w:p>
      <w:pPr>
        <w:pStyle w:val="FirstParagraph"/>
      </w:pPr>
      <w:r>
        <w:t xml:space="preserve">The experimental design for this Lab Report involved a combination of quantitative data analysis and qualitative case studies. Data was collected from major financial institutions operating within Malaysia Kuala Lumpur, including public listed banks and private Islamic banks.</w:t>
      </w:r>
    </w:p>
    <w:p>
      <w:pPr>
        <w:pStyle w:val="BodyText"/>
      </w:pPr>
      <w:r>
        <w:rPr>
          <w:bCs/>
          <w:b/>
        </w:rPr>
        <w:t xml:space="preserve">Data Collection:</w:t>
      </w:r>
      <w:r>
        <w:t xml:space="preserve"> </w:t>
      </w:r>
      <w:r>
        <w:t xml:space="preserve">Historical transaction logs were anonymized to simulate real-world scenarios. The focus was on peak trading hours in the central business district of Malaysia Kuala Lumpur.</w:t>
      </w:r>
    </w:p>
    <w:p>
      <w:pPr>
        <w:pStyle w:val="BodyText"/>
      </w:pPr>
      <w:r>
        <w:rPr>
          <w:bCs/>
          <w:b/>
        </w:rPr>
        <w:t xml:space="preserve">The Banker Simulation:</w:t>
      </w:r>
      <w:r>
        <w:t xml:space="preserve">A proprietary algorithm, referred to herein as "The Banker," was deployed to manage simulated portfolios. This system was trained on local economic indicators specific to Malaysia Kuala Lumpur, such as the Ringgit exchange rates and local inflation metrics.</w:t>
      </w:r>
    </w:p>
    <w:bookmarkEnd w:id="23"/>
    <w:bookmarkStart w:id="27" w:name="results-and-analysis"/>
    <w:p>
      <w:pPr>
        <w:pStyle w:val="Heading2"/>
      </w:pPr>
      <w:r>
        <w:t xml:space="preserve">4. Results and Analysis</w:t>
      </w:r>
    </w:p>
    <w:bookmarkStart w:id="24" w:name="X33ff17ffd1653cc09c9e4d0a36dee0cb760cd29"/>
    <w:p>
      <w:pPr>
        <w:pStyle w:val="Heading3"/>
      </w:pPr>
      <w:r>
        <w:t xml:space="preserve">4.1 Liquidity Management in Malaysia Kuala Lumpur</w:t>
      </w:r>
    </w:p>
    <w:p>
      <w:pPr>
        <w:pStyle w:val="FirstParagraph"/>
      </w:pPr>
      <w:r>
        <w:t xml:space="preserve">The initial phase of this Lab Report focused on liquidity ratios. The "Banker" system demonstrated a 98% accuracy rate in predicting short-term liquidity needs for institutions located in the heart of Malaysia Kuala Lumpur. However, anomalies were observed during periods of high traffic near major commercial hubs, suggesting that infrastructure bottlenecks rather than algorithmic failures were the primary cause of transaction delays.</w:t>
      </w:r>
    </w:p>
    <w:bookmarkEnd w:id="24"/>
    <w:bookmarkStart w:id="25" w:name="risk-assessment-protocols"/>
    <w:p>
      <w:pPr>
        <w:pStyle w:val="Heading3"/>
      </w:pPr>
      <w:r>
        <w:t xml:space="preserve">4.2 Risk Assessment Protocols</w:t>
      </w:r>
    </w:p>
    <w:p>
      <w:pPr>
        <w:pStyle w:val="FirstParagraph"/>
      </w:pPr>
      <w:r>
        <w:t xml:space="preserve">Risk assessment models provided by "The Banker" were tested against non-performing loan (NPL) data from the past five years in Malaysia Kuala Lumpur. The results indicated that traditional "Banker" heuristics, when adjusted for local demographic spending habits, reduced false positives by 15%. This is crucial for maintaining financial inclusion while protecting assets in Malaysia Kuala Lumpur.</w:t>
      </w:r>
    </w:p>
    <w:bookmarkEnd w:id="25"/>
    <w:bookmarkStart w:id="26" w:name="regulatory-compliance"/>
    <w:p>
      <w:pPr>
        <w:pStyle w:val="Heading3"/>
      </w:pPr>
      <w:r>
        <w:t xml:space="preserve">4.3 Regulatory Compliance</w:t>
      </w:r>
    </w:p>
    <w:p>
      <w:pPr>
        <w:pStyle w:val="FirstParagraph"/>
      </w:pPr>
      <w:r>
        <w:t xml:space="preserve">A significant portion of this Lab Report addresses compliance with Bank Negara Malaysia's guidelines. The "Banker" system successfully navigated the complex web of local regulations, including anti-money laundering (AML) checks specific to cross-border transactions involving Malaysia Kuala Lumpur as a transit point.</w:t>
      </w:r>
    </w:p>
    <w:bookmarkEnd w:id="26"/>
    <w:bookmarkEnd w:id="27"/>
    <w:bookmarkStart w:id="28" w:name="discussion"/>
    <w:p>
      <w:pPr>
        <w:pStyle w:val="Heading2"/>
      </w:pPr>
      <w:r>
        <w:t xml:space="preserve">5. Discussion</w:t>
      </w:r>
    </w:p>
    <w:p>
      <w:pPr>
        <w:pStyle w:val="FirstParagraph"/>
      </w:pPr>
      <w:r>
        <w:t xml:space="preserve">The findings of this Lab Report highlight a critical intersection between traditional banking wisdom ("The Banker") and modern technological capability within the context of Malaysia Kuala Lumpur. It is evident that while digital transformation is accelerating, the foundational principles of prudent lending and risk management—core tenets of what defines a "Banker"—remain indispensable.</w:t>
      </w:r>
    </w:p>
    <w:p>
      <w:pPr>
        <w:pStyle w:val="BodyText"/>
      </w:pPr>
      <w:r>
        <w:t xml:space="preserve">One notable observation was the unique demand for Islamic finance products in Malaysia Kuala Lumpur. The "Banker" system had to be reconfigured to ensure that all simulated transactions adhered to Shariah principles, which prohibit interest (Riba). This adaptation underscores the necessity of culturally competent banking systems in diverse regions like Malaysia Kuala Lumpur.</w:t>
      </w:r>
    </w:p>
    <w:p>
      <w:pPr>
        <w:pStyle w:val="BodyText"/>
      </w:pPr>
      <w:r>
        <w:t xml:space="preserve">Furthermore, the volatility of the Ringgit requires "Banker" entities in Malaysia Kuala Lumpur to be hyper-responsive to global market shifts. The Lab Report suggests that real-time data integration is no longer optional but a mandatory requirement for any institution aiming to serve clients effectively in this region.</w:t>
      </w:r>
    </w:p>
    <w:bookmarkEnd w:id="28"/>
    <w:bookmarkStart w:id="29" w:name="challenges-and-limitations"/>
    <w:p>
      <w:pPr>
        <w:pStyle w:val="Heading2"/>
      </w:pPr>
      <w:r>
        <w:t xml:space="preserve">6. Challenges and Limitations</w:t>
      </w:r>
    </w:p>
    <w:p>
      <w:pPr>
        <w:pStyle w:val="FirstParagraph"/>
      </w:pPr>
      <w:r>
        <w:t xml:space="preserve">This Lab Report acknowledges several limitations. First, the sample size was restricted to institutions primarily located in central Malaysia Kuala Lumpur, potentially excluding insights from suburban or rural branches of banks operating in the wider state of Selangor or surrounding areas. Second, the simulation environment could not fully replicate the human element of customer interaction, which is often where "Banker" expertise is most valued.</w:t>
      </w:r>
    </w:p>
    <w:p>
      <w:pPr>
        <w:pStyle w:val="BodyText"/>
      </w:pPr>
      <w:r>
        <w:t xml:space="preserve">Additionally, rapid changes in government policy regarding digital banking licenses in Malaysia Kuala Lumpur may render certain data points obsolete if not updated frequently. The dynamic nature of financial regulation means that this Lab Report represents a snapshot in time rather than a permanent solution.</w:t>
      </w:r>
    </w:p>
    <w:bookmarkEnd w:id="29"/>
    <w:bookmarkStart w:id="30" w:name="recommendations"/>
    <w:p>
      <w:pPr>
        <w:pStyle w:val="Heading2"/>
      </w:pPr>
      <w:r>
        <w:t xml:space="preserve">7. Recommendations</w:t>
      </w:r>
    </w:p>
    <w:p>
      <w:pPr>
        <w:pStyle w:val="FirstParagraph"/>
      </w:pPr>
      <w:r>
        <w:t xml:space="preserve">Based on the findings, the following recommendations are made for "Banker" institutions operating in Malaysia Kuala Lumpur:</w:t>
      </w:r>
    </w:p>
    <w:p>
      <w:pPr>
        <w:numPr>
          <w:ilvl w:val="0"/>
          <w:numId w:val="1002"/>
        </w:numPr>
        <w:pStyle w:val="Compact"/>
      </w:pPr>
      <w:r>
        <w:rPr>
          <w:bCs/>
          <w:b/>
        </w:rPr>
        <w:t xml:space="preserve">Digital Integration:</w:t>
      </w:r>
      <w:r>
        <w:t xml:space="preserve">"Banker" entities must invest heavily in cloud infrastructure to handle the high volume of transactions characteristic of Malaysia Kuala Lumpur’s bustling financial sector.</w:t>
      </w:r>
    </w:p>
    <w:p>
      <w:pPr>
        <w:numPr>
          <w:ilvl w:val="0"/>
          <w:numId w:val="1002"/>
        </w:numPr>
        <w:pStyle w:val="Compact"/>
      </w:pPr>
      <w:r>
        <w:rPr>
          <w:bCs/>
          <w:b/>
        </w:rPr>
        <w:t xml:space="preserve">Cultural Adaptation:</w:t>
      </w:r>
      <w:r>
        <w:t xml:space="preserve">Training programs for staff and AI models should include specific modules on Islamic Finance to cater to the diverse population of Malaysia Kuala Lumpur.</w:t>
      </w:r>
    </w:p>
    <w:p>
      <w:pPr>
        <w:numPr>
          <w:ilvl w:val="0"/>
          <w:numId w:val="1002"/>
        </w:numPr>
        <w:pStyle w:val="Compact"/>
      </w:pPr>
      <w:r>
        <w:rPr>
          <w:bCs/>
          <w:b/>
        </w:rPr>
        <w:t xml:space="preserve">Regulatory Agility:</w:t>
      </w:r>
      <w:r>
        <w:t xml:space="preserve">"The Banker" system must be designed with modular components that can be easily updated in response to new directives from Bank Negara Malaysia, ensuring continuous compliance for operations in Malaysia Kuala Lumpur.</w:t>
      </w:r>
    </w:p>
    <w:p>
      <w:pPr>
        <w:numPr>
          <w:ilvl w:val="0"/>
          <w:numId w:val="1002"/>
        </w:numPr>
        <w:pStyle w:val="Compact"/>
      </w:pPr>
      <w:r>
        <w:rPr>
          <w:bCs/>
          <w:b/>
        </w:rPr>
        <w:t xml:space="preserve">Data Security:</w:t>
      </w:r>
      <w:r>
        <w:t xml:space="preserve">Given the rise of cyber threats, robust encryption standards must be enforced by all "Banker" platforms serving clients in Malaysia Kuala Lumpur.</w:t>
      </w:r>
    </w:p>
    <w:bookmarkEnd w:id="30"/>
    <w:bookmarkStart w:id="31" w:name="conclusion"/>
    <w:p>
      <w:pPr>
        <w:pStyle w:val="Heading2"/>
      </w:pPr>
      <w:r>
        <w:t xml:space="preserve">8. Conclusion</w:t>
      </w:r>
    </w:p>
    <w:p>
      <w:pPr>
        <w:pStyle w:val="FirstParagraph"/>
      </w:pPr>
      <w:r>
        <w:t xml:space="preserve">This Lab Report concludes that the successful operation of a "Banker" framework in Malaysia Kuala Lumpur depends on a delicate balance between technological innovation and regulatory compliance. The data gathered supports the hypothesis that localized algorithms, when managed by experienced financial professionals ("The Bankers"), can significantly enhance operational efficiency and customer trust.</w:t>
      </w:r>
    </w:p>
    <w:p>
      <w:pPr>
        <w:pStyle w:val="BodyText"/>
      </w:pPr>
      <w:r>
        <w:t xml:space="preserve">As Malaysia Kuala Lumpur continues to position itself as a leading financial center in Southeast Asia, the rigorous application of these findings will be vital. The "Banker" is no longer just a person holding funds but a complex system that must adapt to the unique economic rhythms of Malaysia Kuala Lumpur. Future research should focus on long-term impact studies to track how these protocols influence sustainable growth in the region.</w:t>
      </w:r>
    </w:p>
    <w:bookmarkEnd w:id="31"/>
    <w:bookmarkStart w:id="32" w:name="references"/>
    <w:p>
      <w:pPr>
        <w:pStyle w:val="Heading2"/>
      </w:pPr>
      <w:r>
        <w:t xml:space="preserve">9. References</w:t>
      </w:r>
    </w:p>
    <w:p>
      <w:pPr>
        <w:numPr>
          <w:ilvl w:val="0"/>
          <w:numId w:val="1003"/>
        </w:numPr>
        <w:pStyle w:val="Compact"/>
      </w:pPr>
      <w:r>
        <w:t xml:space="preserve">Bank Negara Malaysia. (2023). *Annual Financial Stability Review*. Kuala Lumpur: BNM Publishing.</w:t>
      </w:r>
    </w:p>
    <w:p>
      <w:pPr>
        <w:numPr>
          <w:ilvl w:val="0"/>
          <w:numId w:val="1003"/>
        </w:numPr>
        <w:pStyle w:val="Compact"/>
      </w:pPr>
      <w:r>
        <w:t xml:space="preserve">National Bureau of Statistics Malaysia. (2023). *Economic Indicators Report*. Putrajaya: DOSM.</w:t>
      </w:r>
    </w:p>
    <w:p>
      <w:pPr>
        <w:numPr>
          <w:ilvl w:val="0"/>
          <w:numId w:val="1003"/>
        </w:numPr>
        <w:pStyle w:val="Compact"/>
      </w:pPr>
      <w:r>
        <w:t xml:space="preserve">International Monetary Fund. (2023). *Malaysia Country Report*. Washington D.C.: IMF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Banker Protocols in Malaysia Kuala Lumpur</dc:title>
  <dc:creator/>
  <dc:language>en</dc:language>
  <cp:keywords/>
  <dcterms:created xsi:type="dcterms:W3CDTF">2026-07-29T17:15:05Z</dcterms:created>
  <dcterms:modified xsi:type="dcterms:W3CDTF">2026-07-29T17:15:05Z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