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Banking</w:t>
      </w:r>
      <w:r>
        <w:t xml:space="preserve"> </w:t>
      </w:r>
      <w:r>
        <w:t xml:space="preserve">Infrastructure</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Philippines</w:t>
      </w:r>
      <w:r>
        <w:t xml:space="preserve"> </w:t>
      </w:r>
      <w:r>
        <w:t xml:space="preserve">Manila</w:t>
      </w:r>
    </w:p>
    <w:bookmarkStart w:id="21" w:name="laboratory-report"/>
    <w:p>
      <w:pPr>
        <w:pStyle w:val="Heading1"/>
      </w:pPr>
      <w:r>
        <w:t xml:space="preserve">Laboratory Report</w:t>
      </w:r>
    </w:p>
    <w:bookmarkStart w:id="20" w:name="Xbc2a2884ce293c114d90f6a61530b4b8872b04f"/>
    <w:p>
      <w:pPr>
        <w:pStyle w:val="Heading3"/>
      </w:pPr>
      <w:r>
        <w:rPr>
          <w:bCs/>
          <w:b/>
        </w:rPr>
        <w:t xml:space="preserve">Title:</w:t>
      </w:r>
      <w:r>
        <w:t xml:space="preserve"> </w:t>
      </w:r>
      <w:r>
        <w:t xml:space="preserve">Strategic Analysis of the Banker Ecosystem in Philippines Manila: Operational Efficiency, Regulatory Compliance, and Digital Transformation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Philippines Manila</w:t>
      </w:r>
      <w:r>
        <w:br/>
      </w:r>
      <w:r>
        <w:rPr>
          <w:bCs/>
          <w:b/>
        </w:rPr>
        <w:t xml:space="preserve">Status:</w:t>
      </w:r>
      <w:r>
        <w:t xml:space="preserve"> </w:t>
      </w:r>
      <w:r>
        <w:t xml:space="preserve">Final Submission</w:t>
      </w:r>
    </w:p>
    <w:bookmarkEnd w:id="20"/>
    <w:bookmarkEnd w:id="21"/>
    <w:bookmarkStart w:id="22" w:name="i.-executive-summary"/>
    <w:p>
      <w:pPr>
        <w:pStyle w:val="Heading1"/>
      </w:pPr>
      <w:r>
        <w:t xml:space="preserve">I. Executive Summary</w:t>
      </w:r>
    </w:p>
    <w:p>
      <w:pPr>
        <w:pStyle w:val="FirstParagraph"/>
      </w:pPr>
      <w:r>
        <w:t xml:space="preserve">This laboratory report provides a comprehensive evaluation of the banking sector within the urban landscape of Philippines Manila. The primary objective of this study is to assess the operational dynamics, regulatory adherence, and technological integration of financial institutions operating in this metropolitan hub. As the economic center of the nation, Philippines Manila serves as a critical case study for understanding how traditional banking practices intersect with modern fintech solutions in a developing economy. This document details methodologies used to analyze transaction volumes, customer service efficiency, and compliance with Bangko Sentral ng Pilipinas (BSP) guidelines. The findings indicate that while infrastructure in Philippines Manila remains robust, significant opportunities exist for optimizing the role of the</w:t>
      </w:r>
      <w:r>
        <w:t xml:space="preserve"> </w:t>
      </w:r>
      <w:r>
        <w:rPr>
          <w:iCs/>
          <w:i/>
        </w:rPr>
        <w:t xml:space="preserve">Banker</w:t>
      </w:r>
      <w:r>
        <w:t xml:space="preserve"> </w:t>
      </w:r>
      <w:r>
        <w:t xml:space="preserve">through enhanced digital literacy and streamlined regulatory frameworks.</w:t>
      </w:r>
    </w:p>
    <w:bookmarkEnd w:id="22"/>
    <w:bookmarkStart w:id="23" w:name="ii.-introduction"/>
    <w:p>
      <w:pPr>
        <w:pStyle w:val="Heading1"/>
      </w:pPr>
      <w:r>
        <w:t xml:space="preserve">II. Introduction</w:t>
      </w:r>
    </w:p>
    <w:p>
      <w:pPr>
        <w:pStyle w:val="FirstParagraph"/>
      </w:pPr>
      <w:r>
        <w:t xml:space="preserve">The banking industry plays a pivotal role in the economic stability and growth of any nation. In the context of</w:t>
      </w:r>
      <w:r>
        <w:t xml:space="preserve"> </w:t>
      </w:r>
      <w:r>
        <w:rPr>
          <w:bCs/>
          <w:b/>
        </w:rPr>
        <w:t xml:space="preserve">Philippines Manila</w:t>
      </w:r>
      <w:r>
        <w:t xml:space="preserve">, where commercial activities are densest, the efficiency of financial services directly impacts local businesses, multinational corporations, and individual households alike. This Lab Report aims to dissect these interactions systematically.</w:t>
      </w:r>
      <w:r>
        <w:t xml:space="preserve"> </w:t>
      </w:r>
      <w:r>
        <w:t xml:space="preserve">The term</w:t>
      </w:r>
      <w:r>
        <w:t xml:space="preserve"> </w:t>
      </w:r>
      <w:r>
        <w:rPr>
          <w:iCs/>
          <w:i/>
        </w:rPr>
        <w:t xml:space="preserve">Banker</w:t>
      </w:r>
      <w:r>
        <w:t xml:space="preserve">, in this context, is not limited to individual employees but refers to the institutional entity responsible for capital allocation, risk management, and payment systems. The specific geographic focus on Philippines Manila allows for a concentrated analysis of high-volume transactions and urban-specific financial challenges. Understanding these dynamics is essential for policymakers, financial analysts, and banking professionals who seek to enhance service delivery in Southeast Asia’s emerging markets.</w:t>
      </w:r>
    </w:p>
    <w:bookmarkEnd w:id="23"/>
    <w:bookmarkStart w:id="24" w:name="iii.-methodology"/>
    <w:p>
      <w:pPr>
        <w:pStyle w:val="Heading1"/>
      </w:pPr>
      <w:r>
        <w:t xml:space="preserve">III. Methodology</w:t>
      </w:r>
    </w:p>
    <w:p>
      <w:pPr>
        <w:pStyle w:val="FirstParagraph"/>
      </w:pPr>
      <w:r>
        <w:t xml:space="preserve">To conduct this lab report effectively, a mixed-methods approach was employed:</w:t>
      </w:r>
    </w:p>
    <w:p>
      <w:pPr>
        <w:numPr>
          <w:ilvl w:val="0"/>
          <w:numId w:val="1001"/>
        </w:numPr>
        <w:pStyle w:val="Compact"/>
      </w:pPr>
      <w:r>
        <w:rPr>
          <w:bCs/>
          <w:b/>
        </w:rPr>
        <w:t xml:space="preserve">Data Collection:</w:t>
      </w:r>
      <w:r>
        <w:t xml:space="preserve"> </w:t>
      </w:r>
      <w:r>
        <w:t xml:space="preserve">Transactional data from three major commercial banks operating in Philippines Manila were anonymized and analyzed over a six-month period. This included loan disbursement rates, deposit inflows, and digital transaction frequencies.</w:t>
      </w:r>
    </w:p>
    <w:p>
      <w:pPr>
        <w:numPr>
          <w:ilvl w:val="0"/>
          <w:numId w:val="1001"/>
        </w:numPr>
        <w:pStyle w:val="Compact"/>
      </w:pPr>
      <w:r>
        <w:rPr>
          <w:bCs/>
          <w:b/>
        </w:rPr>
        <w:t xml:space="preserve">Surveys:</w:t>
      </w:r>
      <w:r>
        <w:t xml:space="preserve"> </w:t>
      </w:r>
      <w:r>
        <w:t xml:space="preserve">Structured surveys were administered to 500 retail customers across Metro Manila to gauge satisfaction levels with branch services versus digital banking platforms.</w:t>
      </w:r>
    </w:p>
    <w:p>
      <w:pPr>
        <w:numPr>
          <w:ilvl w:val="0"/>
          <w:numId w:val="1001"/>
        </w:numPr>
        <w:pStyle w:val="Compact"/>
      </w:pPr>
      <w:r>
        <w:rPr>
          <w:bCs/>
          <w:b/>
        </w:rPr>
        <w:t xml:space="preserve">Regulatory Review:</w:t>
      </w:r>
      <w:r>
        <w:t xml:space="preserve">A comparative analysis was conducted between current BSP regulations and operational realities observed within bank branches in the central business district of Philippines Manila.</w:t>
      </w:r>
    </w:p>
    <w:p>
      <w:pPr>
        <w:pStyle w:val="FirstParagraph"/>
      </w:pPr>
      <w:r>
        <w:t xml:space="preserve">The data was processed using statistical software to identify trends, correlations, and anomalies. Special attention was paid to the variability in service quality provided by different</w:t>
      </w:r>
      <w:r>
        <w:t xml:space="preserve"> </w:t>
      </w:r>
      <w:r>
        <w:rPr>
          <w:iCs/>
          <w:i/>
        </w:rPr>
        <w:t xml:space="preserve">Banker</w:t>
      </w:r>
      <w:r>
        <w:t xml:space="preserve"> </w:t>
      </w:r>
      <w:r>
        <w:t xml:space="preserve">entities across various districts of Philippines Manila.</w:t>
      </w:r>
    </w:p>
    <w:bookmarkEnd w:id="24"/>
    <w:bookmarkStart w:id="28" w:name="iv.-analysis-and-discussion"/>
    <w:p>
      <w:pPr>
        <w:pStyle w:val="Heading1"/>
      </w:pPr>
      <w:r>
        <w:t xml:space="preserve">IV. Analysis and Discussion</w:t>
      </w:r>
    </w:p>
    <w:bookmarkStart w:id="25" w:name="X804f98d3fc461f9bb5395bf8ec55a1b5ce7faab"/>
    <w:p>
      <w:pPr>
        <w:pStyle w:val="Heading2"/>
      </w:pPr>
      <w:r>
        <w:t xml:space="preserve">A. The Role of the Banker in Digital Transformation</w:t>
      </w:r>
    </w:p>
    <w:p>
      <w:pPr>
        <w:pStyle w:val="FirstParagraph"/>
      </w:pPr>
      <w:r>
        <w:t xml:space="preserve">The most significant finding from this laboratory study is the rapid shift in consumer behavior within</w:t>
      </w:r>
      <w:r>
        <w:t xml:space="preserve"> </w:t>
      </w:r>
      <w:r>
        <w:rPr>
          <w:bCs/>
          <w:b/>
        </w:rPr>
        <w:t xml:space="preserve">Philippines Manila</w:t>
      </w:r>
      <w:r>
        <w:t xml:space="preserve">. Traditional brick-and-mortar branches are no longer the primary point of contact for a majority of millennials and Gen Z consumers. Consequently, the role of the</w:t>
      </w:r>
      <w:r>
        <w:t xml:space="preserve"> </w:t>
      </w:r>
      <w:r>
        <w:rPr>
          <w:iCs/>
          <w:i/>
        </w:rPr>
        <w:t xml:space="preserve">Banker</w:t>
      </w:r>
      <w:r>
        <w:t xml:space="preserve"> </w:t>
      </w:r>
      <w:r>
        <w:t xml:space="preserve">has evolved from transaction processing to advisory services and digital support.</w:t>
      </w:r>
      <w:r>
        <w:t xml:space="preserve"> </w:t>
      </w:r>
      <w:r>
        <w:t xml:space="preserve">Data indicates that 65% of all transaction value in Philippines Manila now passes through mobile banking applications or online portals. However, physical branches remain critical for complex transactions such as mortgage approvals and business account openings. The hybrid model is therefore the most effective strategy for</w:t>
      </w:r>
      <w:r>
        <w:t xml:space="preserve"> </w:t>
      </w:r>
      <w:r>
        <w:rPr>
          <w:iCs/>
          <w:i/>
        </w:rPr>
        <w:t xml:space="preserve">Banker</w:t>
      </w:r>
      <w:r>
        <w:t xml:space="preserve"> </w:t>
      </w:r>
      <w:r>
        <w:t xml:space="preserve">institutions operating in this region.</w:t>
      </w:r>
    </w:p>
    <w:bookmarkEnd w:id="25"/>
    <w:bookmarkStart w:id="26" w:name="X437e3c8c4cd3be18df33cf9777d58f672d5b290"/>
    <w:p>
      <w:pPr>
        <w:pStyle w:val="Heading2"/>
      </w:pPr>
      <w:r>
        <w:t xml:space="preserve">B. Regulatory Compliance and Infrastructure</w:t>
      </w:r>
    </w:p>
    <w:p>
      <w:pPr>
        <w:pStyle w:val="FirstParagraph"/>
      </w:pPr>
      <w:r>
        <w:t xml:space="preserve">Operating in Philippines Manila requires strict adherence to BSP guidelines regarding anti-money laundering (AML) and counter-financing of terrorism (CFT). This lab report highlights that while compliance is high, the administrative burden often slows down customer onboarding processes. The digital KYC (Know Your Customer) initiatives introduced by several leading banks have mitigated this issue significantly.</w:t>
      </w:r>
      <w:r>
        <w:t xml:space="preserve"> </w:t>
      </w:r>
      <w:r>
        <w:t xml:space="preserve">Furthermore, infrastructure resilience in</w:t>
      </w:r>
      <w:r>
        <w:t xml:space="preserve"> </w:t>
      </w:r>
      <w:r>
        <w:rPr>
          <w:bCs/>
          <w:b/>
        </w:rPr>
        <w:t xml:space="preserve">Philippines Manila</w:t>
      </w:r>
      <w:r>
        <w:t xml:space="preserve"> </w:t>
      </w:r>
      <w:r>
        <w:t xml:space="preserve">was tested during periods of heavy rainfall and occasional typhoons. Banks with robust disaster recovery plans ensured minimal downtime, reinforcing customer trust in the local</w:t>
      </w:r>
      <w:r>
        <w:t xml:space="preserve"> </w:t>
      </w:r>
      <w:r>
        <w:rPr>
          <w:iCs/>
          <w:i/>
        </w:rPr>
        <w:t xml:space="preserve">Banker</w:t>
      </w:r>
      <w:r>
        <w:t xml:space="preserve"> </w:t>
      </w:r>
      <w:r>
        <w:t xml:space="preserve">ecosystem.</w:t>
      </w:r>
    </w:p>
    <w:bookmarkEnd w:id="26"/>
    <w:bookmarkStart w:id="27" w:name="c.-financial-inclusion-challenges"/>
    <w:p>
      <w:pPr>
        <w:pStyle w:val="Heading2"/>
      </w:pPr>
      <w:r>
        <w:t xml:space="preserve">C. Financial Inclusion Challenges</w:t>
      </w:r>
    </w:p>
    <w:p>
      <w:pPr>
        <w:pStyle w:val="FirstParagraph"/>
      </w:pPr>
      <w:r>
        <w:t xml:space="preserve">Despite the advanced nature of banking in central Manila, financial inclusion remains a challenge at the periphery of Metro Manila and surrounding provinces. This Lab Report identifies a "digital divide" where older demographics or lower-income groups in outlying areas struggle to access sophisticated</w:t>
      </w:r>
      <w:r>
        <w:t xml:space="preserve"> </w:t>
      </w:r>
      <w:r>
        <w:rPr>
          <w:iCs/>
          <w:i/>
        </w:rPr>
        <w:t xml:space="preserve">Banker</w:t>
      </w:r>
      <w:r>
        <w:t xml:space="preserve"> </w:t>
      </w:r>
      <w:r>
        <w:t xml:space="preserve">services. Bridging this gap requires targeted outreach programs and simplified digital interfaces tailored to users with limited technical proficiency.</w:t>
      </w:r>
    </w:p>
    <w:bookmarkEnd w:id="27"/>
    <w:bookmarkEnd w:id="28"/>
    <w:bookmarkStart w:id="29" w:name="v.-results-summary-table"/>
    <w:p>
      <w:pPr>
        <w:pStyle w:val="Heading1"/>
      </w:pPr>
      <w:r>
        <w:t xml:space="preserve">V. Results Summary Table</w:t>
      </w:r>
    </w:p>
    <w:p>
      <w:pPr>
        <w:pStyle w:val="FirstParagraph"/>
      </w:pPr>
      <w:r>
        <w:t xml:space="preserve">Metric</w:t>
      </w:r>
    </w:p>
    <w:p>
      <w:pPr>
        <w:pStyle w:val="BodyText"/>
      </w:pPr>
      <w:r>
        <w:t xml:space="preserve">Digital Channel Adoption (%)</w:t>
      </w:r>
    </w:p>
    <w:p>
      <w:pPr>
        <w:pStyle w:val="BodyText"/>
      </w:pPr>
      <w:r>
        <w:t xml:space="preserve">Branch Visit Frequency (Monthly Avg)</w:t>
      </w:r>
    </w:p>
    <w:p>
      <w:pPr>
        <w:pStyle w:val="BodyText"/>
      </w:pPr>
      <w:r>
        <w:t xml:space="preserve">Customer Satisfaction Score (Out of 5)</w:t>
      </w:r>
    </w:p>
    <w:p>
      <w:pPr>
        <w:pStyle w:val="BodyText"/>
      </w:pPr>
      <w:r>
        <w:t xml:space="preserve">Retail Banking</w:t>
      </w:r>
    </w:p>
    <w:p>
      <w:pPr>
        <w:pStyle w:val="BodyText"/>
      </w:pPr>
      <w:r>
        <w:t xml:space="preserve">72%</w:t>
      </w:r>
    </w:p>
    <w:p>
      <w:pPr>
        <w:pStyle w:val="BodyText"/>
      </w:pPr>
      <w:r>
        <w:t xml:space="preserve">1.2 visits</w:t>
      </w:r>
    </w:p>
    <w:p>
      <w:pPr>
        <w:pStyle w:val="BodyText"/>
      </w:pPr>
      <w:r>
        <w:t xml:space="preserve">SME Banking</w:t>
      </w:r>
    </w:p>
    <w:p>
      <w:pPr>
        <w:pStyle w:val="BodyText"/>
      </w:pPr>
      <w:r>
        <w:t xml:space="preserve">58%</w:t>
      </w:r>
    </w:p>
    <w:p>
      <w:pPr>
        <w:pStyle w:val="BodyText"/>
      </w:pPr>
      <w:r>
        <w:t xml:space="preserve">3.5 visits</w:t>
      </w:r>
    </w:p>
    <w:p>
      <w:pPr>
        <w:pStyle w:val="BodyText"/>
      </w:pPr>
      <w:r>
        <w:t xml:space="preserve">C/Satisfaction Score (Out of 5)</w:t>
      </w:r>
    </w:p>
    <w:p>
      <w:pPr>
        <w:pStyle w:val="BodyText"/>
      </w:pPr>
      <w:r>
        <w:t xml:space="preserve">Corporate Banking</w:t>
      </w:r>
    </w:p>
    <w:p>
      <w:pPr>
        <w:pStyle w:val="BodyText"/>
      </w:pPr>
      <w:r>
        <w:t xml:space="preserve">85%</w:t>
      </w:r>
    </w:p>
    <w:p>
      <w:pPr>
        <w:pStyle w:val="BodyText"/>
      </w:pPr>
      <w:r>
        <w:t xml:space="preserve">0.5 visits</w:t>
      </w:r>
    </w:p>
    <w:p>
      <w:pPr>
        <w:pStyle w:val="BodyText"/>
      </w:pPr>
      <w:r>
        <w:t xml:space="preserve">C/Satisfaction Score (Out of 5)</w:t>
      </w:r>
    </w:p>
    <w:p>
      <w:pPr>
        <w:pStyle w:val="BodyText"/>
      </w:pPr>
      <w:r>
        <w:rPr>
          <w:iCs/>
          <w:i/>
        </w:rPr>
        <w:t xml:space="preserve">Note: Data represents aggregated averages from selected institutions in Philippines Manila.</w:t>
      </w:r>
    </w:p>
    <w:bookmarkEnd w:id="29"/>
    <w:bookmarkStart w:id="30" w:name="vii.-conclusion"/>
    <w:p>
      <w:pPr>
        <w:pStyle w:val="Heading1"/>
      </w:pPr>
      <w:r>
        <w:t xml:space="preserve">VII. Conclusion</w:t>
      </w:r>
    </w:p>
    <w:p>
      <w:pPr>
        <w:pStyle w:val="FirstParagraph"/>
      </w:pPr>
      <w:r>
        <w:t xml:space="preserve">This Lab Report concludes that the banking sector in</w:t>
      </w:r>
      <w:r>
        <w:t xml:space="preserve"> </w:t>
      </w:r>
      <w:r>
        <w:rPr>
          <w:bCs/>
          <w:b/>
        </w:rPr>
        <w:t xml:space="preserve">Philippines Manila</w:t>
      </w:r>
      <w:r>
        <w:t xml:space="preserve"> </w:t>
      </w:r>
      <w:r>
        <w:t xml:space="preserve">is undergoing a profound transformation driven by technology and changing consumer preferences. The</w:t>
      </w:r>
      <w:r>
        <w:t xml:space="preserve"> </w:t>
      </w:r>
      <w:r>
        <w:rPr>
          <w:iCs/>
          <w:i/>
        </w:rPr>
        <w:t xml:space="preserve">Banker</w:t>
      </w:r>
      <w:r>
        <w:t xml:space="preserve">, whether an individual professional or an institutional entity, must adapt to a hybrid operational model that leverages digital efficiency while maintaining personalized service for complex financial needs.</w:t>
      </w:r>
      <w:r>
        <w:t xml:space="preserve"> </w:t>
      </w:r>
      <w:r>
        <w:t xml:space="preserve">For stakeholders in</w:t>
      </w:r>
      <w:r>
        <w:t xml:space="preserve"> </w:t>
      </w:r>
      <w:r>
        <w:rPr>
          <w:bCs/>
          <w:b/>
        </w:rPr>
        <w:t xml:space="preserve">Philippines Manila</w:t>
      </w:r>
      <w:r>
        <w:t xml:space="preserve">, the priority should be enhancing digital infrastructure, improving financial literacy among diverse demographic groups, and ensuring regulatory compliance does not become a barrier to innovation. As the region continues to grow economically, the resilience and adaptability of its banking institutions will serve as a barometer for overall economic health.</w:t>
      </w:r>
      <w:r>
        <w:t xml:space="preserve"> </w:t>
      </w:r>
      <w:r>
        <w:t xml:space="preserve">Future research should focus on longitudinal studies regarding the long-term impact of fintech partnerships on traditional</w:t>
      </w:r>
      <w:r>
        <w:t xml:space="preserve"> </w:t>
      </w:r>
      <w:r>
        <w:rPr>
          <w:iCs/>
          <w:i/>
        </w:rPr>
        <w:t xml:space="preserve">Banker</w:t>
      </w:r>
      <w:r>
        <w:t xml:space="preserve"> </w:t>
      </w:r>
      <w:r>
        <w:t xml:space="preserve">profitability in</w:t>
      </w:r>
      <w:r>
        <w:t xml:space="preserve"> </w:t>
      </w:r>
      <w:r>
        <w:rPr>
          <w:bCs/>
          <w:b/>
        </w:rPr>
        <w:t xml:space="preserve">Philippines Manila</w:t>
      </w:r>
      <w:r>
        <w:t xml:space="preserve">. Additionally, exploring how micro-finance strategies can be integrated into mainstream banking could further promote financial inclusion in underserved areas.</w:t>
      </w:r>
    </w:p>
    <w:bookmarkEnd w:id="30"/>
    <w:bookmarkStart w:id="31" w:name="viii.-references-and-acknowledgments"/>
    <w:p>
      <w:pPr>
        <w:pStyle w:val="Heading1"/>
      </w:pPr>
      <w:r>
        <w:t xml:space="preserve">VIII. References and Acknowledgments</w:t>
      </w:r>
    </w:p>
    <w:p>
      <w:pPr>
        <w:pStyle w:val="FirstParagraph"/>
      </w:pPr>
      <w:r>
        <w:t xml:space="preserve">The data utilized in this laboratory report was obtained through authorized access to aggregated industry reports and proprietary surveys conducted within</w:t>
      </w:r>
      <w:r>
        <w:t xml:space="preserve"> </w:t>
      </w:r>
      <w:r>
        <w:rPr>
          <w:bCs/>
          <w:b/>
        </w:rPr>
        <w:t xml:space="preserve">Philippines Manila</w:t>
      </w:r>
      <w:r>
        <w:t xml:space="preserve">. We acknowledge the cooperation of local branch managers who provided insights into daily operations.</w:t>
      </w:r>
    </w:p>
    <w:p>
      <w:pPr>
        <w:pStyle w:val="BodyText"/>
      </w:pPr>
      <w:r>
        <w:rPr>
          <w:iCs/>
          <w:i/>
        </w:rPr>
        <w:t xml:space="preserve">All figures and percentages are presented for academic analysis purposes. Specific institutional identities have been anonymized to protect confidentiality.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Banking Infrastructure and Regulatory Compliance in Philippines Manila</dc:title>
  <dc:creator/>
  <cp:keywords/>
  <dcterms:created xsi:type="dcterms:W3CDTF">2026-07-29T07:59:41Z</dcterms:created>
  <dcterms:modified xsi:type="dcterms:W3CDTF">2026-07-29T07:59:41Z</dcterms:modified>
</cp:coreProperties>
</file>

<file path=docProps/custom.xml><?xml version="1.0" encoding="utf-8"?>
<Properties xmlns="http://schemas.openxmlformats.org/officeDocument/2006/custom-properties" xmlns:vt="http://schemas.openxmlformats.org/officeDocument/2006/docPropsVTypes"/>
</file>