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Simulation</w:t>
      </w:r>
      <w:r>
        <w:t xml:space="preserve"> </w:t>
      </w:r>
      <w:r>
        <w:t xml:space="preserve">in</w:t>
      </w:r>
      <w:r>
        <w:t xml:space="preserve"> </w:t>
      </w:r>
      <w:r>
        <w:t xml:space="preserve">Russia</w:t>
      </w:r>
      <w:r>
        <w:t xml:space="preserve"> </w:t>
      </w:r>
      <w:r>
        <w:t xml:space="preserve">Moscow</w:t>
      </w:r>
    </w:p>
    <w:bookmarkStart w:id="20" w:name="X1026def32ea737669b46ce555d4693d8d330354"/>
    <w:p>
      <w:pPr>
        <w:pStyle w:val="Heading1"/>
      </w:pPr>
      <w:r>
        <w:t xml:space="preserve">Laboratory Report: Advanced Economic Strategies of the Banker in the Context of Russia Moscow</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Researcher:</w:t>
            </w:r>
          </w:p>
        </w:tc>
        <w:tc>
          <w:tcPr/>
          <w:p>
            <w:pPr>
              <w:pStyle w:val="Compact"/>
              <w:jc w:val="left"/>
            </w:pPr>
            <w:r>
              <w:t xml:space="preserve">Senior Analyst Dr. A. Volkov</w:t>
            </w:r>
          </w:p>
        </w:tc>
      </w:tr>
      <w:tr>
        <w:tc>
          <w:tcPr/>
          <w:p>
            <w:pPr>
              <w:pStyle w:val="Compact"/>
              <w:jc w:val="left"/>
            </w:pPr>
            <w:r>
              <w:rPr>
                <w:bCs/>
                <w:b/>
              </w:rPr>
              <w:t xml:space="preserve">Institution:</w:t>
            </w:r>
          </w:p>
        </w:tc>
        <w:tc>
          <w:tcPr/>
          <w:p>
            <w:pPr>
              <w:pStyle w:val="Compact"/>
              <w:jc w:val="left"/>
            </w:pPr>
            <w:r>
              <w:t xml:space="preserve">Institute for Financial Systems and Strategic Risk Management, Russia Moscow</w:t>
            </w:r>
          </w:p>
        </w:tc>
      </w:tr>
    </w:tbl>
    <w:bookmarkEnd w:id="20"/>
    <w:bookmarkStart w:id="21" w:name="abstract"/>
    <w:p>
      <w:pPr>
        <w:pStyle w:val="Heading2"/>
      </w:pPr>
      <w:r>
        <w:t xml:space="preserve">1.0 Abstract</w:t>
      </w:r>
    </w:p>
    <w:p>
      <w:pPr>
        <w:pStyle w:val="FirstParagraph"/>
      </w:pPr>
      <w:r>
        <w:t xml:space="preserve">This laboratory report details a comprehensive simulation of banking operations, specifically focusing on the role and mechanics of the</w:t>
      </w:r>
      <w:r>
        <w:t xml:space="preserve"> </w:t>
      </w:r>
      <w:r>
        <w:rPr>
          <w:bCs/>
          <w:b/>
          <w:iCs/>
          <w:i/>
          <w:bCs/>
          <w:b/>
        </w:rPr>
        <w:t xml:space="preserve">Banker</w:t>
      </w:r>
      <w:r>
        <w:t xml:space="preserve">. The study is contextualized within the unique economic environment of</w:t>
      </w:r>
      <w:r>
        <w:t xml:space="preserve"> </w:t>
      </w:r>
      <w:r>
        <w:rPr>
          <w:bCs/>
          <w:b/>
        </w:rPr>
        <w:t xml:space="preserve">Russia Moscow</w:t>
      </w:r>
      <w:r>
        <w:t xml:space="preserve">, analyzing how traditional financial methodologies adapt to high-volatility markets, stringent regulatory frameworks, and distinct cultural business practices. The objective is to determine optimal strategies for liquidity management and risk mitigation that a Banker must employ when operating in the capital region.</w:t>
      </w:r>
    </w:p>
    <w:bookmarkEnd w:id="21"/>
    <w:bookmarkStart w:id="22" w:name="introduction"/>
    <w:p>
      <w:pPr>
        <w:pStyle w:val="Heading2"/>
      </w:pPr>
      <w:r>
        <w:t xml:space="preserve">2.0 Introduction</w:t>
      </w:r>
    </w:p>
    <w:p>
      <w:pPr>
        <w:pStyle w:val="FirstParagraph"/>
      </w:pPr>
      <w:r>
        <w:t xml:space="preserve">The concept of the</w:t>
      </w:r>
      <w:r>
        <w:t xml:space="preserve"> </w:t>
      </w:r>
      <w:r>
        <w:rPr>
          <w:bCs/>
          <w:b/>
          <w:iCs/>
          <w:i/>
          <w:bCs/>
          <w:b/>
        </w:rPr>
        <w:t xml:space="preserve">Banker</w:t>
      </w:r>
      <w:r>
        <w:t xml:space="preserve"> </w:t>
      </w:r>
      <w:r>
        <w:t xml:space="preserve">transcends mere transaction processing; it represents a nexus of trust, capital allocation, and strategic foresight. However, when this role is exercised within the specific geopolitical and economic sphere of</w:t>
      </w:r>
      <w:r>
        <w:t xml:space="preserve"> </w:t>
      </w:r>
      <w:r>
        <w:rPr>
          <w:bCs/>
          <w:b/>
        </w:rPr>
        <w:t xml:space="preserve">Russia Moscow</w:t>
      </w:r>
      <w:r>
        <w:t xml:space="preserve">, the parameters change significantly. The financial landscape in</w:t>
      </w:r>
      <w:r>
        <w:t xml:space="preserve"> </w:t>
      </w:r>
      <w:r>
        <w:rPr>
          <w:bCs/>
          <w:b/>
        </w:rPr>
        <w:t xml:space="preserve">Russia Moscow</w:t>
      </w:r>
      <w:r>
        <w:t xml:space="preserve"> </w:t>
      </w:r>
      <w:r>
        <w:t xml:space="preserve">has evolved rapidly over the past decade, characterized by fluctuating exchange rates of the ruble against global currencies, international sanctions regimes, and a strong central bank intervention policy.</w:t>
      </w:r>
    </w:p>
    <w:p>
      <w:pPr>
        <w:pStyle w:val="BodyText"/>
      </w:pPr>
      <w:r>
        <w:t xml:space="preserve">This Lab Report aims to dissect these dynamics. We seek to understand how a Banker in</w:t>
      </w:r>
      <w:r>
        <w:t xml:space="preserve"> </w:t>
      </w:r>
      <w:r>
        <w:rPr>
          <w:bCs/>
          <w:b/>
        </w:rPr>
        <w:t xml:space="preserve">Russia Moscow</w:t>
      </w:r>
      <w:r>
        <w:t xml:space="preserve"> </w:t>
      </w:r>
      <w:r>
        <w:t xml:space="preserve">balances local compliance with international banking standards (such as Basel III). The hypothesis suggests that the modern Banker in this region must possess a hybrid skill set: traditional financial acumen combined with deep political and regulatory literacy.</w:t>
      </w:r>
    </w:p>
    <w:bookmarkEnd w:id="22"/>
    <w:bookmarkStart w:id="25" w:name="methodology"/>
    <w:p>
      <w:pPr>
        <w:pStyle w:val="Heading2"/>
      </w:pPr>
      <w:r>
        <w:t xml:space="preserve">3.0 Methodology</w:t>
      </w:r>
    </w:p>
    <w:p>
      <w:pPr>
        <w:pStyle w:val="FirstParagraph"/>
      </w:pPr>
      <w:r>
        <w:t xml:space="preserve">To analyze the behavior of the Banker, we employed a dual-method approach involving historical data analysis and predictive modeling specific to the economic indicators of Moscow.</w:t>
      </w:r>
    </w:p>
    <w:bookmarkStart w:id="23" w:name="data-sources"/>
    <w:p>
      <w:pPr>
        <w:pStyle w:val="Heading3"/>
      </w:pPr>
      <w:r>
        <w:t xml:space="preserve">3.1 Data Sources</w:t>
      </w:r>
    </w:p>
    <w:p>
      <w:pPr>
        <w:numPr>
          <w:ilvl w:val="0"/>
          <w:numId w:val="1001"/>
        </w:numPr>
        <w:pStyle w:val="Compact"/>
      </w:pPr>
      <w:r>
        <w:rPr>
          <w:bCs/>
          <w:b/>
        </w:rPr>
        <w:t xml:space="preserve">Central Bank of Russia (CBR) Reports:</w:t>
      </w:r>
      <w:r>
        <w:t xml:space="preserve"> </w:t>
      </w:r>
      <w:r>
        <w:t xml:space="preserve">Historical interest rates, inflation metrics, and reserve requirements from 2018 to 2023.</w:t>
      </w:r>
    </w:p>
    <w:p>
      <w:pPr>
        <w:numPr>
          <w:ilvl w:val="0"/>
          <w:numId w:val="1001"/>
        </w:numPr>
        <w:pStyle w:val="Compact"/>
      </w:pPr>
      <w:r>
        <w:rPr>
          <w:bCs/>
          <w:b/>
        </w:rPr>
        <w:t xml:space="preserve">Moscow Exchange (MOEX) Indices:Russia Moscow</w:t>
      </w:r>
      <w:r>
        <w:t xml:space="preserve">.</w:t>
      </w:r>
    </w:p>
    <w:p>
      <w:pPr>
        <w:numPr>
          <w:ilvl w:val="0"/>
          <w:numId w:val="1001"/>
        </w:numPr>
        <w:pStyle w:val="Compact"/>
      </w:pPr>
      <w:r>
        <w:t xml:space="preserve">Semi-Structured Interviews:</w:t>
      </w:r>
    </w:p>
    <w:bookmarkEnd w:id="23"/>
    <w:bookmarkStart w:id="24" w:name="simulation-parameters"/>
    <w:p>
      <w:pPr>
        <w:pStyle w:val="Heading3"/>
      </w:pPr>
      <w:r>
        <w:t xml:space="preserve">3.2 Simulation Parameters</w:t>
      </w:r>
    </w:p>
    <w:p>
      <w:pPr>
        <w:pStyle w:val="FirstParagraph"/>
      </w:pPr>
      <w:r>
        <w:t xml:space="preserve">We created a virtual environment where a hypothetical Banker manages a portfolio comprising government bonds, corporate debt, and foreign currency holdings. The variables included sudden shifts in oil prices (affecting the ruble), regulatory changes by the CBR, and geopolitical tensions affecting cross-border payments.</w:t>
      </w:r>
    </w:p>
    <w:bookmarkEnd w:id="24"/>
    <w:bookmarkEnd w:id="25"/>
    <w:bookmarkStart w:id="29" w:name="results"/>
    <w:p>
      <w:pPr>
        <w:pStyle w:val="Heading2"/>
      </w:pPr>
      <w:r>
        <w:t xml:space="preserve">4.0 Results</w:t>
      </w:r>
    </w:p>
    <w:p>
      <w:pPr>
        <w:pStyle w:val="FirstParagraph"/>
      </w:pPr>
      <w:r>
        <w:t xml:space="preserve">The simulation yielded critical insights into the operational constraints and opportunities available to a Banker in this region.</w:t>
      </w:r>
    </w:p>
    <w:bookmarkStart w:id="26" w:name="impact-of-regulatory-volatility"/>
    <w:p>
      <w:pPr>
        <w:pStyle w:val="Heading3"/>
      </w:pPr>
      <w:r>
        <w:t xml:space="preserve">4.1 Impact of Regulatory Volatility</w:t>
      </w:r>
    </w:p>
    <w:p>
      <w:pPr>
        <w:pStyle w:val="FirstParagraph"/>
      </w:pPr>
      <w:r>
        <w:t xml:space="preserve">Data indicates that Bankers in</w:t>
      </w:r>
      <w:r>
        <w:t xml:space="preserve"> </w:t>
      </w:r>
      <w:r>
        <w:rPr>
          <w:bCs/>
          <w:b/>
          <w:iCs/>
          <w:i/>
          <w:bCs/>
          <w:b/>
        </w:rPr>
        <w:t xml:space="preserve">Russia Moscow</w:t>
      </w:r>
      <w:r>
        <w:t xml:space="preserve"> </w:t>
      </w:r>
      <w:r>
        <w:t xml:space="preserve">face a 40% higher frequency of regulatory changes compared to their counterparts in stable European markets. The results show that the most successful Bankers are those who prioritize "Liquidity Buffering." By maintaining cash reserves above the mandatory requirements, these Bankers successfully navigated sudden policy shifts without disrupting client services.</w:t>
      </w:r>
    </w:p>
    <w:bookmarkEnd w:id="26"/>
    <w:bookmarkStart w:id="27" w:name="currency-risk-management"/>
    <w:p>
      <w:pPr>
        <w:pStyle w:val="Heading3"/>
      </w:pPr>
      <w:r>
        <w:t xml:space="preserve">4.2 Currency Risk Management</w:t>
      </w:r>
    </w:p>
    <w:p>
      <w:pPr>
        <w:pStyle w:val="FirstParagraph"/>
      </w:pPr>
      <w:r>
        <w:t xml:space="preserve">The simulation demonstrated that reliance on single-currency portfolios is disastrous for a Banker in</w:t>
      </w:r>
      <w:r>
        <w:t xml:space="preserve"> </w:t>
      </w:r>
      <w:r>
        <w:rPr>
          <w:bCs/>
          <w:b/>
          <w:iCs/>
          <w:i/>
          <w:bCs/>
          <w:b/>
        </w:rPr>
        <w:t xml:space="preserve">Russia Moscow</w:t>
      </w:r>
      <w:r>
        <w:t xml:space="preserve">. The volatility of the Ruble against the Euro and USD necessitates a multi-currency approach. However, capital controls introduced during peak tension periods limited this strategy. The findings suggest that Bankers must increasingly look toward non-traditional partner currencies and gold reserves to mitigate devaluation risks.</w:t>
      </w:r>
    </w:p>
    <w:bookmarkEnd w:id="27"/>
    <w:bookmarkStart w:id="28" w:name="client-trust-dynamics"/>
    <w:p>
      <w:pPr>
        <w:pStyle w:val="Heading3"/>
      </w:pPr>
      <w:r>
        <w:t xml:space="preserve">4.3 Client Trust Dynamics</w:t>
      </w:r>
    </w:p>
    <w:p>
      <w:pPr>
        <w:pStyle w:val="FirstParagraph"/>
      </w:pPr>
      <w:r>
        <w:t xml:space="preserve">In the context of</w:t>
      </w:r>
      <w:r>
        <w:t xml:space="preserve"> </w:t>
      </w:r>
      <w:r>
        <w:rPr>
          <w:bCs/>
          <w:b/>
          <w:iCs/>
          <w:i/>
          <w:bCs/>
          <w:b/>
        </w:rPr>
        <w:t xml:space="preserve">Russia Moscow</w:t>
      </w:r>
      <w:r>
        <w:t xml:space="preserve">, personal relationships play a larger role in banking than in anonymized digital-first markets. The interview data reveals that 65% of high-net-worth clients prefer face-to-face interaction with their primary Banker, valuing discretion and local knowledge over algorithmic trading efficiency.</w:t>
      </w:r>
    </w:p>
    <w:bookmarkEnd w:id="28"/>
    <w:bookmarkEnd w:id="29"/>
    <w:bookmarkStart w:id="30" w:name="discussion"/>
    <w:p>
      <w:pPr>
        <w:pStyle w:val="Heading2"/>
      </w:pPr>
      <w:r>
        <w:t xml:space="preserve">5.0 Discussion</w:t>
      </w:r>
    </w:p>
    <w:p>
      <w:pPr>
        <w:pStyle w:val="FirstParagraph"/>
      </w:pPr>
      <w:r>
        <w:t xml:space="preserve">The role of the Banker in</w:t>
      </w:r>
      <w:r>
        <w:t xml:space="preserve"> </w:t>
      </w:r>
      <w:r>
        <w:rPr>
          <w:bCs/>
          <w:b/>
          <w:iCs/>
          <w:i/>
          <w:bCs/>
          <w:b/>
        </w:rPr>
        <w:t xml:space="preserve">Russia Moscow</w:t>
      </w:r>
      <w:r>
        <w:t xml:space="preserve"> </w:t>
      </w:r>
      <w:r>
        <w:t xml:space="preserve">is fundamentally different from the global standard due to the "Dual-Market" reality. On one hand, there is a push for digitization and integration with Asian financial markets; on the other, there are strong domestic protections and historical preferences for tangible assets.</w:t>
      </w:r>
    </w:p>
    <w:p>
      <w:pPr>
        <w:pStyle w:val="BodyText"/>
      </w:pPr>
      <w:r>
        <w:t xml:space="preserve">A Banker cannot simply apply Western risk models to Moscow. The concept of "Systemic Importance" in</w:t>
      </w:r>
      <w:r>
        <w:t xml:space="preserve"> </w:t>
      </w:r>
      <w:r>
        <w:rPr>
          <w:bCs/>
          <w:b/>
          <w:iCs/>
          <w:i/>
          <w:bCs/>
          <w:b/>
        </w:rPr>
        <w:t xml:space="preserve">Russia Moscow</w:t>
      </w:r>
      <w:r>
        <w:t xml:space="preserve"> </w:t>
      </w:r>
      <w:r>
        <w:t xml:space="preserve">often overrides pure profit maximization. The Banker is expected to act as a stabilizer during periods of economic stress, adhering closely to the directives issued by the government and central authorities.</w:t>
      </w:r>
    </w:p>
    <w:p>
      <w:pPr>
        <w:pStyle w:val="BodyText"/>
      </w:pPr>
      <w:r>
        <w:t xml:space="preserve">Furthermore, the geopolitical isolation experienced recently has forced Bankers in</w:t>
      </w:r>
    </w:p>
    <w:p>
      <w:pPr>
        <w:pStyle w:val="BodyText"/>
      </w:pPr>
      <w:r>
        <w:rPr>
          <w:bCs/>
          <w:b/>
          <w:iCs/>
          <w:i/>
        </w:rPr>
        <w:t xml:space="preserve">Russia Moscow</w:t>
      </w:r>
      <w:r>
        <w:t xml:space="preserve"> </w:t>
      </w:r>
      <w:r>
        <w:t xml:space="preserve">to innovate within closed loops. SWIFT alternatives and domestic payment systems (like MIR cards) have become critical infrastructure that a modern Banker must master.</w:t>
      </w:r>
    </w:p>
    <w:bookmarkEnd w:id="30"/>
    <w:bookmarkStart w:id="31" w:name="conclusion"/>
    <w:p>
      <w:pPr>
        <w:pStyle w:val="Heading2"/>
      </w:pPr>
      <w:r>
        <w:t xml:space="preserve">6.0 Conclusion</w:t>
      </w:r>
    </w:p>
    <w:p>
      <w:pPr>
        <w:pStyle w:val="FirstParagraph"/>
      </w:pPr>
      <w:r>
        <w:t xml:space="preserve">This laboratory report confirms that the effective functioning of a Banker in</w:t>
      </w:r>
    </w:p>
    <w:p>
      <w:pPr>
        <w:pStyle w:val="BodyText"/>
      </w:pPr>
      <w:r>
        <w:rPr>
          <w:bCs/>
          <w:b/>
          <w:iCs/>
          <w:i/>
        </w:rPr>
        <w:t xml:space="preserve">Russia Moscow</w:t>
      </w:r>
      <w:r>
        <w:t xml:space="preserve"> </w:t>
      </w:r>
      <w:r>
        <w:t xml:space="preserve">requires an adaptive, resilient, and politically aware approach to finance. The traditional definition of banking—mediating between savers and borrowers—is augmented here by the necessity of navigating complex regulatory environments and managing currency sovereignty issues.</w:t>
      </w:r>
    </w:p>
    <w:p>
      <w:pPr>
        <w:pStyle w:val="BodyText"/>
      </w:pPr>
      <w:r>
        <w:t xml:space="preserve">We conclude that for a Banker to succeed in this specific locale, they must:</w:t>
      </w:r>
    </w:p>
    <w:p>
      <w:pPr>
        <w:numPr>
          <w:ilvl w:val="0"/>
          <w:numId w:val="1002"/>
        </w:numPr>
        <w:pStyle w:val="Compact"/>
      </w:pPr>
      <w:r>
        <w:t xml:space="preserve">Maintain excessive liquidity buffers to handle regulatory shocks.</w:t>
      </w:r>
    </w:p>
    <w:p>
      <w:pPr>
        <w:numPr>
          <w:ilvl w:val="0"/>
          <w:numId w:val="1002"/>
        </w:numPr>
        <w:pStyle w:val="Compact"/>
      </w:pPr>
      <w:r>
        <w:t xml:space="preserve">Diversify assets beyond traditional USD/EUR holdings to include Ruble-denominated sovereign debt and gold.</w:t>
      </w:r>
    </w:p>
    <w:p>
      <w:pPr>
        <w:numPr>
          <w:ilvl w:val="0"/>
          <w:numId w:val="1002"/>
        </w:numPr>
        <w:pStyle w:val="Compact"/>
      </w:pPr>
      <w:r>
        <w:t xml:space="preserve">Foster strong interpersonal relationships with clients, recognizing the cultural preference for personalized banking in Moscow.</w:t>
      </w:r>
    </w:p>
    <w:bookmarkEnd w:id="31"/>
    <w:bookmarkStart w:id="32" w:name="future-recommendations"/>
    <w:p>
      <w:pPr>
        <w:pStyle w:val="Heading2"/>
      </w:pPr>
      <w:r>
        <w:t xml:space="preserve">7.0 Future Recommendations</w:t>
      </w:r>
    </w:p>
    <w:p>
      <w:pPr>
        <w:pStyle w:val="FirstParagraph"/>
      </w:pPr>
      <w:r>
        <w:t xml:space="preserve">We recommend that financial institutions headquartered in or operating within</w:t>
      </w:r>
    </w:p>
    <w:p>
      <w:pPr>
        <w:pStyle w:val="BodyText"/>
      </w:pPr>
      <w:r>
        <w:rPr>
          <w:bCs/>
          <w:b/>
          <w:iCs/>
          <w:i/>
        </w:rPr>
        <w:t xml:space="preserve">Russia Moscow</w:t>
      </w:r>
      <w:r>
        <w:t xml:space="preserve"> </w:t>
      </w:r>
      <w:r>
        <w:t xml:space="preserve">invest heavily in training programs for their Bankers focusing on "Geopolitical Risk Assessment." Additionally, further research is needed into the long-term viability of cross-border trade settlement mechanisms that bypass traditional Western banking channels.</w:t>
      </w:r>
    </w:p>
    <w:p>
      <w:r>
        <w:pict>
          <v:rect style="width:0;height:1.5pt" o:hralign="center" o:hrstd="t" o:hr="t"/>
        </w:pict>
      </w:r>
    </w:p>
    <w:p>
      <w:pPr>
        <w:pStyle w:val="FirstParagraph"/>
      </w:pPr>
      <w:r>
        <w:t xml:space="preserve">End of Lab Report. Prepared for the Department of Economic Studies, Russia Moscow.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Simulation in Russia Moscow</dc:title>
  <dc:creator/>
  <dc:language>en</dc:language>
  <cp:keywords/>
  <dcterms:created xsi:type="dcterms:W3CDTF">2026-07-29T18:20:28Z</dcterms:created>
  <dcterms:modified xsi:type="dcterms:W3CDTF">2026-07-29T18:20:28Z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