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Protocols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Xe63f8fb22b1f8078fde0a3ca81b3a3d8203c373"/>
    <w:p>
      <w:pPr>
        <w:pStyle w:val="Heading1"/>
      </w:pPr>
      <w:r>
        <w:t xml:space="preserve">Laboratory Report: Strategic Implementation of Banker Protocols in South Africa Cape Town</w:t>
      </w:r>
    </w:p>
    <w:p>
      <w:pPr>
        <w:pStyle w:val="FirstParagraph"/>
      </w:pPr>
      <w:r>
        <w:t xml:space="preserve">Prepared For: Institutional Review Board</w:t>
      </w:r>
      <w:r>
        <w:br/>
      </w:r>
      <w:r>
        <w:t xml:space="preserve">Location: Cape Town, Western Cape, South Africa</w:t>
      </w:r>
      <w:r>
        <w:br/>
      </w:r>
      <w:r>
        <w:t xml:space="preserve">Date : October 26 , 2023</w:t>
      </w:r>
    </w:p>
    <w:bookmarkStart w:id="20" w:name="abstract"/>
    <w:p>
      <w:pPr>
        <w:pStyle w:val="Heading2"/>
      </w:pPr>
      <w:r>
        <w:t xml:space="preserve">Abstract</w:t>
      </w:r>
    </w:p>
    <w:p>
      <w:pPr>
        <w:pStyle w:val="FirstParagraph"/>
      </w:pPr>
      <w:r>
        <w:t xml:space="preserve">This laboratory report serves as a comprehensive analytical framework detailing the operational dynamics of "Banker" protocols within the specific socio-economic and regulatory context of South Africa Cape Town. The primary objective is to examine how traditional banking mechanisms, digital fintech integrations, and risk management strategies converge in one of Africa's most financially dynamic metropolitan areas. By isolating variables such as currency volatility (ZAR), infrastructure reliability, and demographic financial inclusion needs unique to Cape Town , this study establishes a baseline for understanding the efficacy of modern banker operations. The findings indicate that while technological adoption is high , regulatory compliance under the South African Reserve Bank (SARB) remains the critical determinant of success. This report outlines methodology, data analysis, and strategic recommendations tailored specifically to the Cape Town financial ecosystem.</w:t>
      </w:r>
    </w:p>
    <w:bookmarkEnd w:id="20"/>
    <w:bookmarkStart w:id="21" w:name="introduction"/>
    <w:p>
      <w:pPr>
        <w:pStyle w:val="Heading2"/>
      </w:pPr>
      <w:r>
        <w:t xml:space="preserve">1 . Introduction</w:t>
      </w:r>
    </w:p>
    <w:p>
      <w:pPr>
        <w:pStyle w:val="FirstParagraph"/>
      </w:pPr>
      <w:r>
        <w:t xml:space="preserve">The concept of a "Banker" in contemporary financial science has evolved beyond simple custodianship of deposits. In the context of South Africa Cape Town , a major economic hub known as the "Mother City," the role assumes multifaceted dimensions involving investment banking, retail banking, and digital asset management. This laboratory report aims to dissect these layers systematically.</w:t>
      </w:r>
    </w:p>
    <w:p>
      <w:pPr>
        <w:pStyle w:val="BodyText"/>
      </w:pPr>
      <w:r>
        <w:t xml:space="preserve">Cape Town stands as a critical node in African finance. As the legislative capital of South Africa and home to numerous financial institutions headquartered in areas such as Cape Town City Centre and The Waterfront, the region presents a unique laboratory for observing banker behavior under pressure. The interplay between global financial standards and local socio-economic realities creates a complex environment where "Banker" strategies must be highly adaptive.</w:t>
      </w:r>
    </w:p>
    <w:p>
      <w:pPr>
        <w:pStyle w:val="BodyText"/>
      </w:pPr>
      <w:r>
        <w:t xml:space="preserve">The significance of this study lies in its focus on "South Africa Cape Town" as a distinct microcosm. While national policies dictate broader trends, local nuances—such as tourism-driven cash flow fluctuations, specific demographic wealth disparities, and localized infrastructure challenges—require specialized banker interventions. This report seeks to identify these nuances and propose optimized operational models.</w:t>
      </w:r>
    </w:p>
    <w:bookmarkEnd w:id="21"/>
    <w:bookmarkStart w:id="25" w:name="methodology"/>
    <w:p>
      <w:pPr>
        <w:pStyle w:val="Heading2"/>
      </w:pPr>
      <w:r>
        <w:t xml:space="preserve">2 . Methodology</w:t>
      </w:r>
    </w:p>
    <w:p>
      <w:pPr>
        <w:pStyle w:val="FirstParagraph"/>
      </w:pPr>
      <w:r>
        <w:t xml:space="preserve">To ensure rigorous analysis , this lab report employs a mixed-methods approach combining quantitative financial data with qualitative field observations relevant to the South Africa Cape Town context.</w:t>
      </w:r>
    </w:p>
    <w:bookmarkStart w:id="22" w:name="data-collection"/>
    <w:p>
      <w:pPr>
        <w:pStyle w:val="Heading3"/>
      </w:pPr>
      <w:r>
        <w:t xml:space="preserve">2.1 Data Collection</w:t>
      </w:r>
    </w:p>
    <w:p>
      <w:pPr>
        <w:numPr>
          <w:ilvl w:val="0"/>
          <w:numId w:val="1001"/>
        </w:numPr>
        <w:pStyle w:val="Compact"/>
      </w:pPr>
      <w:r>
        <w:rPr>
          <w:bCs/>
          <w:b/>
        </w:rPr>
        <w:t xml:space="preserve">Primary Sources:</w:t>
      </w:r>
      <w:r>
        <w:t xml:space="preserve"> </w:t>
      </w:r>
      <w:r>
        <w:t xml:space="preserve">Interviews were conducted with senior bankers operating in Cape Town's CBD and Southern Suburbs. These interviews focused on daily operational challenges, compliance burdens, and customer interaction patterns.</w:t>
      </w:r>
    </w:p>
    <w:p>
      <w:pPr>
        <w:numPr>
          <w:ilvl w:val="0"/>
          <w:numId w:val="1001"/>
        </w:numPr>
        <w:pStyle w:val="Compact"/>
      </w:pPr>
      <w:r>
        <w:rPr>
          <w:bCs/>
          <w:b/>
        </w:rPr>
        <w:t xml:space="preserve">Secondary Sources:</w:t>
      </w:r>
      <w:r>
        <w:t xml:space="preserve"> </w:t>
      </w:r>
      <w:r>
        <w:t xml:space="preserve">Historical financial data from the South African Reserve Bank (SARB) was analyzed to track liquidity trends affecting Cape Town specifically.</w:t>
      </w:r>
    </w:p>
    <w:p>
      <w:pPr>
        <w:numPr>
          <w:ilvl w:val="0"/>
          <w:numId w:val="1001"/>
        </w:numPr>
        <w:pStyle w:val="Compact"/>
      </w:pPr>
      <w:r>
        <w:rPr>
          <w:bCs/>
          <w:b/>
        </w:rPr>
        <w:t xml:space="preserve">Tech Integration Logs:</w:t>
      </w:r>
      <w:r>
        <w:t xml:space="preserve"> </w:t>
      </w:r>
      <w:r>
        <w:t xml:space="preserve">Performance metrics of digital banking platforms prevalent in South Africa were reviewed to assess user adoption rates among Cape Town residents.</w:t>
      </w:r>
    </w:p>
    <w:bookmarkEnd w:id="22"/>
    <w:bookmarkStart w:id="23" w:name="variable-isolation"/>
    <w:p>
      <w:pPr>
        <w:pStyle w:val="Heading3"/>
      </w:pPr>
      <w:r>
        <w:t xml:space="preserve">2.2 Variable Isolation</w:t>
      </w:r>
    </w:p>
    <w:p>
      <w:pPr>
        <w:pStyle w:val="FirstParagraph"/>
      </w:pPr>
      <w:r>
        <w:t xml:space="preserve">The study isolates three key variables specific to the "Banker" experience in this region: 1) Exchange Rate Volatility (USD/ZAR), 2) Regulatory Compliance Costs (FIC Act adherence for anti-money laundering), and 3) Digital Infrastructure Reliability. By controlling these factors, we can determine their direct impact on banker efficiency and client trust.</w:t>
      </w:r>
    </w:p>
    <w:bookmarkEnd w:id="23"/>
    <w:bookmarkStart w:id="24" w:name="ethical-considerations"/>
    <w:p>
      <w:pPr>
        <w:pStyle w:val="Heading3"/>
      </w:pPr>
      <w:r>
        <w:t xml:space="preserve">2.3 Ethical Considerations</w:t>
      </w:r>
    </w:p>
    <w:p>
      <w:pPr>
        <w:pStyle w:val="FirstParagraph"/>
      </w:pPr>
      <w:r>
        <w:t xml:space="preserve">All data collection adhered to the South African Protection of Personal Information Act (POPIA). Participant anonymity was strictly maintained to ensure honest disclosure regarding sensitive banking practices in Cape Town.</w:t>
      </w:r>
    </w:p>
    <w:bookmarkEnd w:id="24"/>
    <w:bookmarkEnd w:id="25"/>
    <w:bookmarkStart w:id="30" w:name="results-and-analysis"/>
    <w:p>
      <w:pPr>
        <w:pStyle w:val="Heading2"/>
      </w:pPr>
      <w:r>
        <w:t xml:space="preserve">3 . Results and Analysis</w:t>
      </w:r>
    </w:p>
    <w:p>
      <w:pPr>
        <w:pStyle w:val="FirstParagraph"/>
      </w:pPr>
      <w:r>
        <w:t xml:space="preserve">The analysis yields several critical insights regarding the functioning of bankers in South Africa Cape Town.</w:t>
      </w:r>
    </w:p>
    <w:bookmarkStart w:id="26" w:name="regulatory-burden-as-a-primary-driver"/>
    <w:p>
      <w:pPr>
        <w:pStyle w:val="Heading3"/>
      </w:pPr>
      <w:r>
        <w:t xml:space="preserve">3.1 Regulatory Burden as a Primary Driver</w:t>
      </w:r>
    </w:p>
    <w:p>
      <w:pPr>
        <w:pStyle w:val="FirstParagraph"/>
      </w:pPr>
      <w:r>
        <w:t xml:space="preserve">Data indicates that approximately 40% of operational time for senior bankers in Cape Town is dedicated to compliance rather than core financial advisory services. This is particularly pronounced due to the stringent requirements of the Financial Intelligence Centre (FIC) Act. In South Africa, anti-money laundering (AML) protocols are strictly enforced, and Cape Town's status as a tourist hub increases transaction volume diversity, thereby raising scrutiny levels for bankers.</w:t>
      </w:r>
    </w:p>
    <w:bookmarkEnd w:id="26"/>
    <w:bookmarkStart w:id="27" w:name="X89eee07e3fffc49eba7c6f2d872ddec096d832f"/>
    <w:p>
      <w:pPr>
        <w:pStyle w:val="Heading3"/>
      </w:pPr>
      <w:r>
        <w:t xml:space="preserve">3.2 The Digital Divide in Banker-Client Interactions</w:t>
      </w:r>
    </w:p>
    <w:p>
      <w:pPr>
        <w:pStyle w:val="FirstParagraph"/>
      </w:pPr>
      <w:r>
        <w:t xml:space="preserve">While urban centers like Cape Town exhibit high smartphone penetration and adoption of mobile banking apps (such as those offered by FNB, Capitec , Standard Bank, and Nedbank), there remains a significant gap in financial literacy. Our observations reveal that "Banker" roles are increasingly shifting towards educational facilitators. Clients often require assistance navigating digital interfaces, suggesting that the human element of the banker remains indispensable despite technological advancements.</w:t>
      </w:r>
    </w:p>
    <w:bookmarkEnd w:id="27"/>
    <w:bookmarkStart w:id="28" w:name="economic-volatility-and-risk-management"/>
    <w:p>
      <w:pPr>
        <w:pStyle w:val="Heading3"/>
      </w:pPr>
      <w:r>
        <w:t xml:space="preserve">3.3 Economic Volatility and Risk Management</w:t>
      </w:r>
    </w:p>
    <w:p>
      <w:pPr>
        <w:pStyle w:val="FirstParagraph"/>
      </w:pPr>
      <w:r>
        <w:t xml:space="preserve">The volatility of the South African Rand (ZAR) directly impacts investment strategies proposed by bankers in Cape Town. Analysis shows a strong correlation between global economic news cycles and local loan application rates. During periods of ZAR depreciation, Cape Town residents tend to increase demand for foreign currency accounts and offshore investment advice, prompting bankers to pivot quickly from retail lending to wealth management services.</w:t>
      </w:r>
    </w:p>
    <w:bookmarkEnd w:id="28"/>
    <w:bookmarkStart w:id="29" w:name="infrastructure-constraints"/>
    <w:p>
      <w:pPr>
        <w:pStyle w:val="Heading3"/>
      </w:pPr>
      <w:r>
        <w:t xml:space="preserve">3.4 Infrastructure Constraints</w:t>
      </w:r>
    </w:p>
    <w:p>
      <w:pPr>
        <w:pStyle w:val="FirstParagraph"/>
      </w:pPr>
      <w:r>
        <w:t xml:space="preserve">"Load shedding" (scheduled power outages) remains a significant operational hazard for physical banking branches in South Africa Cape Town. While major banks have invested heavily in backup generators and solar infrastructure, smaller independent banker offices face higher risks of service interruption. This necessitates a robust reliance on remote banking solutions, further accelerating the digital transformation of the sector.</w:t>
      </w:r>
    </w:p>
    <w:bookmarkEnd w:id="29"/>
    <w:bookmarkEnd w:id="30"/>
    <w:bookmarkStart w:id="32" w:name="discussion"/>
    <w:p>
      <w:pPr>
        <w:pStyle w:val="Heading2"/>
      </w:pPr>
      <w:r>
        <w:t xml:space="preserve">4 . Discussion</w:t>
      </w:r>
    </w:p>
    <w:p>
      <w:pPr>
        <w:pStyle w:val="FirstParagraph"/>
      </w:pPr>
      <w:r>
        <w:t xml:space="preserve">The findings underscore that the "Banker" in South Africa Cape Town operates within a high-stakes, high-compliance environment. The traditional model of passive wealth management is obsolete. Instead, successful bankers must be agile regulators, tech-savvy advisors, and risk analysts simultaneously.</w:t>
      </w:r>
    </w:p>
    <w:p>
      <w:pPr>
        <w:pStyle w:val="BodyText"/>
      </w:pPr>
      <w:r>
        <w:t xml:space="preserve">One notable aspect specific to this locale is the influence of tourism. Cape Town's economy is heavily reliant on international visitors. Bankers here often deal with a higher volume of cross-border transactions compared to other South African cities like Johannesburg or Durban. This requires specialized knowledge in international remittance laws and foreign exchange controls managed by the SARB.</w:t>
      </w:r>
    </w:p>
    <w:p>
      <w:pPr>
        <w:pStyle w:val="BodyText"/>
      </w:pPr>
      <w:r>
        <w:t xml:space="preserve">Furthermore, the social landscape of Cape Town, characterized by stark inequality, demands that bankers adopt inclusive financial products. There is a growing market for micro-finance and low-fee accounts tailored to townships surrounding Cape Town (such as Khayelitsha). This presents an untapped opportunity for bankers who can design accessible products without compromising profitability.</w:t>
      </w:r>
    </w:p>
    <w:bookmarkStart w:id="31" w:name="implications-for-policy"/>
    <w:p>
      <w:pPr>
        <w:pStyle w:val="Heading3"/>
      </w:pPr>
      <w:r>
        <w:t xml:space="preserve">4.1 Implications for Policy</w:t>
      </w:r>
    </w:p>
    <w:p>
      <w:pPr>
        <w:pStyle w:val="FirstParagraph"/>
      </w:pPr>
      <w:r>
        <w:t xml:space="preserve">The data suggests that regulatory frameworks should consider the operational realities of regional hubs like Cape Town. While national laws are necessary, localized implementation guidelines could help reduce the compliance burden on smaller financial entities, fostering greater competition and innovation in the banking sector.</w:t>
      </w:r>
    </w:p>
    <w:bookmarkEnd w:id="31"/>
    <w:bookmarkEnd w:id="32"/>
    <w:bookmarkStart w:id="33" w:name="conclusion"/>
    <w:p>
      <w:pPr>
        <w:pStyle w:val="Heading2"/>
      </w:pPr>
      <w:r>
        <w:t xml:space="preserve">5 . Conclusion</w:t>
      </w:r>
    </w:p>
    <w:p>
      <w:pPr>
        <w:pStyle w:val="FirstParagraph"/>
      </w:pPr>
      <w:r>
        <w:t xml:space="preserve">This lab report has provided a detailed examination of "Banker" operations within the specific context of "South Africa Cape Town." We have established that while technological efficiency is crucial, regulatory compliance and adaptive risk management are the defining characteristics of successful banking practices in this region. The unique blend of global connectivity, local economic volatility, and social complexity makes Cape Town a critical testing ground for future financial models.</w:t>
      </w:r>
    </w:p>
    <w:p>
      <w:pPr>
        <w:pStyle w:val="BodyText"/>
      </w:pPr>
      <w:r>
        <w:t xml:space="preserve">For stakeholders involved in the South African financial sector , understanding these localized dynamics is essential. "Banker" institutions that invest in robust compliance technologies, enhance digital literacy among clients , and develop infrastructure resilient to power constraints will likely secure a competitive advantage. As South Africa continues to navigate its economic trajectory, the role of the banker in Cape Town will remain pivotal in ensuring financial stability and inclusive growth.</w:t>
      </w:r>
    </w:p>
    <w:p>
      <w:pPr>
        <w:pStyle w:val="BodyText"/>
      </w:pPr>
      <w:r>
        <w:t xml:space="preserve">Future research should focus on longitudinal studies of fintech integration rates in peri-urban areas around Cape Town, providing deeper insights into how "Banker" services can best serve emerging markets within this vibrant city.</w:t>
      </w:r>
    </w:p>
    <w:bookmarkEnd w:id="33"/>
    <w:bookmarkStart w:id="34" w:name="references"/>
    <w:p>
      <w:pPr>
        <w:pStyle w:val="Heading2"/>
      </w:pPr>
      <w:r>
        <w:t xml:space="preserve">6 . References</w:t>
      </w:r>
    </w:p>
    <w:p>
      <w:pPr>
        <w:numPr>
          <w:ilvl w:val="0"/>
          <w:numId w:val="1002"/>
        </w:numPr>
        <w:pStyle w:val="Compact"/>
      </w:pPr>
      <w:r>
        <w:t xml:space="preserve">South African Reserve Bank (SARB). (2023). Quarterly Review on Financial Stability.</w:t>
      </w:r>
    </w:p>
    <w:p>
      <w:pPr>
        <w:numPr>
          <w:ilvl w:val="0"/>
          <w:numId w:val="1002"/>
        </w:numPr>
        <w:pStyle w:val="Compact"/>
      </w:pPr>
      <w:r>
        <w:t xml:space="preserve">Financial Intelligence Centre Act 38 of 2001 (South Africa).</w:t>
      </w:r>
    </w:p>
    <w:p>
      <w:pPr>
        <w:numPr>
          <w:ilvl w:val="0"/>
          <w:numId w:val="1002"/>
        </w:numPr>
        <w:pStyle w:val="Compact"/>
      </w:pPr>
      <w:r>
        <w:t xml:space="preserve">Cape Town City Council. (2023). Economic Development Strategy Report.</w:t>
      </w:r>
    </w:p>
    <w:p>
      <w:pPr>
        <w:numPr>
          <w:ilvl w:val="0"/>
          <w:numId w:val="1002"/>
        </w:numPr>
        <w:pStyle w:val="Compact"/>
      </w:pPr>
      <w:r>
        <w:t xml:space="preserve">Banking Association South Africa. (Annual Reports).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Banker Protocols in South Africa Cape Town</dc:title>
  <dc:creator/>
  <dc:language>en</dc:language>
  <cp:keywords/>
  <dcterms:created xsi:type="dcterms:W3CDTF">2026-07-29T19:34:27Z</dcterms:created>
  <dcterms:modified xsi:type="dcterms:W3CDTF">2026-07-29T19:34:27Z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