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Protocols</w:t>
      </w:r>
      <w:r>
        <w:t xml:space="preserve"> </w:t>
      </w:r>
      <w:r>
        <w:t xml:space="preserve">in</w:t>
      </w:r>
      <w:r>
        <w:t xml:space="preserve"> </w:t>
      </w:r>
      <w:r>
        <w:t xml:space="preserve">Spain</w:t>
      </w:r>
      <w:r>
        <w:t xml:space="preserve"> </w:t>
      </w:r>
      <w:r>
        <w:t xml:space="preserve">Valencia</w:t>
      </w:r>
    </w:p>
    <w:bookmarkStart w:id="30" w:name="X279729edba8b813a409f495af852d7851c4ae7f"/>
    <w:p>
      <w:pPr>
        <w:pStyle w:val="Heading1"/>
      </w:pPr>
      <w:r>
        <w:t xml:space="preserve">Laboratory Report: Evaluation of Banking Infrastructure and Regulatory Compliance in Spain Valencia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Iberian Financial Studies</w:t>
      </w:r>
      <w:r>
        <w:br/>
      </w:r>
      <w:r>
        <w:rPr>
          <w:bCs/>
          <w:b/>
        </w:rPr>
        <w:t xml:space="preserve">Status:</w:t>
      </w:r>
      <w:r>
        <w:t xml:space="preserve"> </w:t>
      </w:r>
      <w:r>
        <w:t xml:space="preserve">Final Analysis</w:t>
      </w:r>
    </w:p>
    <w:bookmarkStart w:id="20" w:name="executive-summary"/>
    <w:p>
      <w:pPr>
        <w:pStyle w:val="Heading2"/>
      </w:pPr>
      <w:r>
        <w:t xml:space="preserve">1. Executive Summary</w:t>
      </w:r>
    </w:p>
    <w:p>
      <w:pPr>
        <w:pStyle w:val="FirstParagraph"/>
      </w:pPr>
      <w:r>
        <w:t xml:space="preserve">This Lab Report provides a comprehensive analysis of the banking sector within the specific economic and regulatory context of</w:t>
      </w:r>
      <w:r>
        <w:t xml:space="preserve"> </w:t>
      </w:r>
      <w:r>
        <w:rPr>
          <w:bCs/>
          <w:b/>
        </w:rPr>
        <w:t xml:space="preserve">Spain Valencia</w:t>
      </w:r>
      <w:r>
        <w:t xml:space="preserve">. The primary objective of this laboratory exercise was to evaluate the operational efficiency, digital transformation capabilities, and adherence to strict financial regulations faced by major</w:t>
      </w:r>
      <w:r>
        <w:t xml:space="preserve"> </w:t>
      </w:r>
      <w:r>
        <w:rPr>
          <w:bCs/>
          <w:b/>
        </w:rPr>
        <w:t xml:space="preserve">Banker</w:t>
      </w:r>
      <w:r>
        <w:t xml:space="preserve"> </w:t>
      </w:r>
      <w:r>
        <w:t xml:space="preserve">institutions operating in this vibrant Mediterranean region. As a key economic hub in Eastern Spain, Valencia presents unique challenges and opportunities for financial service providers. This report details the methodologies used to assess these factors and concludes with strategic recommendations for optimizing</w:t>
      </w:r>
      <w:r>
        <w:t xml:space="preserve"> </w:t>
      </w:r>
      <w:r>
        <w:rPr>
          <w:bCs/>
          <w:b/>
        </w:rPr>
        <w:t xml:space="preserve">Banker</w:t>
      </w:r>
      <w:r>
        <w:t xml:space="preserve"> </w:t>
      </w:r>
      <w:r>
        <w:t xml:space="preserve">performance within the local ecosystem of</w:t>
      </w:r>
      <w:r>
        <w:t xml:space="preserve"> </w:t>
      </w:r>
      <w:r>
        <w:rPr>
          <w:bCs/>
          <w:b/>
        </w:rPr>
        <w:t xml:space="preserve">Spain Valencia</w:t>
      </w:r>
      <w:r>
        <w:t xml:space="preserve">.</w:t>
      </w:r>
    </w:p>
    <w:bookmarkEnd w:id="20"/>
    <w:bookmarkStart w:id="21" w:name="introduction-and-background"/>
    <w:p>
      <w:pPr>
        <w:pStyle w:val="Heading2"/>
      </w:pPr>
      <w:r>
        <w:t xml:space="preserve">2. Introduction and Background</w:t>
      </w:r>
    </w:p>
    <w:p>
      <w:pPr>
        <w:pStyle w:val="FirstParagraph"/>
      </w:pPr>
      <w:r>
        <w:t xml:space="preserve">The banking sector in Spain has undergone significant restructuring over the past decade, moving from a crisis recovery phase to a period of robust growth and digital integration. Within this national framework, the region of</w:t>
      </w:r>
      <w:r>
        <w:t xml:space="preserve"> </w:t>
      </w:r>
      <w:r>
        <w:rPr>
          <w:bCs/>
          <w:b/>
        </w:rPr>
        <w:t xml:space="preserve">Spain Valencia</w:t>
      </w:r>
      <w:r>
        <w:t xml:space="preserve"> </w:t>
      </w:r>
      <w:r>
        <w:t xml:space="preserve">stands out due to its distinct economic profile, characterized by strong tourism sectors, emerging tech industries (often referred to as "Silicon Valley" initiatives), and robust agricultural exports. These economic pillars create a diverse demand for financial services.</w:t>
      </w:r>
    </w:p>
    <w:p>
      <w:pPr>
        <w:pStyle w:val="BodyText"/>
      </w:pPr>
      <w:r>
        <w:t xml:space="preserve">In this context, the term "</w:t>
      </w:r>
      <w:r>
        <w:rPr>
          <w:bCs/>
          <w:b/>
        </w:rPr>
        <w:t xml:space="preserve">Banker</w:t>
      </w:r>
      <w:r>
        <w:t xml:space="preserve">" refers not merely to an individual employee but to the institutional role and the automated systems that facilitate capital allocation, risk management, and customer relationship maintenance. The focus of this lab report is to understand how traditional</w:t>
      </w:r>
      <w:r>
        <w:t xml:space="preserve"> </w:t>
      </w:r>
      <w:r>
        <w:rPr>
          <w:bCs/>
          <w:b/>
        </w:rPr>
        <w:t xml:space="preserve">Banker</w:t>
      </w:r>
      <w:r>
        <w:t xml:space="preserve"> </w:t>
      </w:r>
      <w:r>
        <w:t xml:space="preserve">models are adapting to the specific needs of clients in</w:t>
      </w:r>
      <w:r>
        <w:t xml:space="preserve"> </w:t>
      </w:r>
      <w:r>
        <w:rPr>
          <w:bCs/>
          <w:b/>
        </w:rPr>
        <w:t xml:space="preserve">Spain Valencia</w:t>
      </w:r>
      <w:r>
        <w:t xml:space="preserve">. We investigate whether current banking protocols adequately address the local market's need for agility while maintaining compliance with Spanish Central Bank directives.</w:t>
      </w:r>
    </w:p>
    <w:bookmarkEnd w:id="21"/>
    <w:bookmarkStart w:id="22" w:name="methodology"/>
    <w:p>
      <w:pPr>
        <w:pStyle w:val="Heading2"/>
      </w:pPr>
      <w:r>
        <w:t xml:space="preserve">3. Methodology</w:t>
      </w:r>
    </w:p>
    <w:p>
      <w:pPr>
        <w:pStyle w:val="FirstParagraph"/>
      </w:pPr>
      <w:r>
        <w:t xml:space="preserve">To ensure a rigorous analysis, this Lab Report employs a mixed-methods approach combining quantitative data analysis and qualitative field observations across various districts in</w:t>
      </w:r>
      <w:r>
        <w:t xml:space="preserve"> </w:t>
      </w:r>
      <w:r>
        <w:rPr>
          <w:bCs/>
          <w:b/>
        </w:rPr>
        <w:t xml:space="preserve">Spain Valencia</w:t>
      </w:r>
      <w:r>
        <w:t xml:space="preserve">.</w:t>
      </w:r>
    </w:p>
    <w:p>
      <w:pPr>
        <w:numPr>
          <w:ilvl w:val="0"/>
          <w:numId w:val="1001"/>
        </w:numPr>
        <w:pStyle w:val="Compact"/>
      </w:pPr>
      <w:r>
        <w:rPr>
          <w:bCs/>
          <w:b/>
        </w:rPr>
        <w:t xml:space="preserve">Data Collection:</w:t>
      </w:r>
      <w:r>
        <w:t xml:space="preserve"> </w:t>
      </w:r>
      <w:r>
        <w:t xml:space="preserve">We analyzed transaction volumes, customer acquisition costs, and digital adoption rates from five major banking institutions operating in the region.</w:t>
      </w:r>
    </w:p>
    <w:p>
      <w:pPr>
        <w:numPr>
          <w:ilvl w:val="0"/>
          <w:numId w:val="1001"/>
        </w:numPr>
        <w:pStyle w:val="Compact"/>
      </w:pPr>
      <w:r>
        <w:t xml:space="preserve">Surveys:</w:t>
      </w:r>
    </w:p>
    <w:p>
      <w:pPr>
        <w:numPr>
          <w:ilvl w:val="0"/>
          <w:numId w:val="1000"/>
        </w:numPr>
        <w:pStyle w:val="Compact"/>
      </w:pPr>
      <w:r>
        <w:t xml:space="preserve">The survey targeted local business owners and individual consumers in Valencia to gauge satisfaction levels with current</w:t>
      </w:r>
      <w:r>
        <w:t xml:space="preserve"> </w:t>
      </w:r>
      <w:r>
        <w:rPr>
          <w:bCs/>
          <w:b/>
        </w:rPr>
        <w:t xml:space="preserve">Banker</w:t>
      </w:r>
      <w:r>
        <w:t xml:space="preserve"> </w:t>
      </w:r>
      <w:r>
        <w:t xml:space="preserve">services.</w:t>
      </w:r>
    </w:p>
    <w:p>
      <w:pPr>
        <w:numPr>
          <w:ilvl w:val="0"/>
          <w:numId w:val="1001"/>
        </w:numPr>
        <w:pStyle w:val="Compact"/>
      </w:pPr>
      <w:r>
        <w:t xml:space="preserve">Regulatory Audit Simulation:</w:t>
      </w:r>
    </w:p>
    <w:p>
      <w:pPr>
        <w:numPr>
          <w:ilvl w:val="0"/>
          <w:numId w:val="1000"/>
        </w:numPr>
        <w:pStyle w:val="Compact"/>
      </w:pPr>
      <w:r>
        <w:t xml:space="preserve">We conducted a simulated compliance audit based on the latest regulations issued by the Bank of Spain, focusing on anti-money laundering (AML) and know-your-customer (KYC) procedures.</w:t>
      </w:r>
    </w:p>
    <w:bookmarkEnd w:id="22"/>
    <w:bookmarkStart w:id="26" w:name="results-and-analysis"/>
    <w:p>
      <w:pPr>
        <w:pStyle w:val="Heading2"/>
      </w:pPr>
      <w:r>
        <w:t xml:space="preserve">4. Results and Analysis</w:t>
      </w:r>
    </w:p>
    <w:bookmarkStart w:id="23" w:name="digital-transformation-in-valencia"/>
    <w:p>
      <w:pPr>
        <w:pStyle w:val="Heading3"/>
      </w:pPr>
      <w:r>
        <w:t xml:space="preserve">4.1 Digital Transformation in Valencia</w:t>
      </w:r>
    </w:p>
    <w:p>
      <w:pPr>
        <w:pStyle w:val="FirstParagraph"/>
      </w:pPr>
      <w:r>
        <w:t xml:space="preserve">The data indicates a rapid shift towards digital banking platforms in</w:t>
      </w:r>
      <w:r>
        <w:t xml:space="preserve"> </w:t>
      </w:r>
      <w:r>
        <w:rPr>
          <w:bCs/>
          <w:b/>
        </w:rPr>
        <w:t xml:space="preserve">Spain Valencia</w:t>
      </w:r>
      <w:r>
        <w:t xml:space="preserve">. However, the report highlights a disparity between urban centers like the city of Valencia and surrounding rural municipalities. While metropolitan areas show high proficiency with mobile banking apps, rural clients still rely heavily on physical branches and face-to-face interactions with their assigned</w:t>
      </w:r>
      <w:r>
        <w:t xml:space="preserve"> </w:t>
      </w:r>
      <w:r>
        <w:rPr>
          <w:bCs/>
          <w:b/>
        </w:rPr>
        <w:t xml:space="preserve">Banker</w:t>
      </w:r>
      <w:r>
        <w:t xml:space="preserve">. This suggests that while digital infrastructure is present in</w:t>
      </w:r>
      <w:r>
        <w:t xml:space="preserve"> </w:t>
      </w:r>
      <w:r>
        <w:rPr>
          <w:bCs/>
          <w:b/>
        </w:rPr>
        <w:t xml:space="preserve">Spain Valencia</w:t>
      </w:r>
      <w:r>
        <w:t xml:space="preserve">, the human element provided by traditional</w:t>
      </w:r>
      <w:r>
        <w:t xml:space="preserve"> </w:t>
      </w:r>
      <w:r>
        <w:rPr>
          <w:bCs/>
          <w:b/>
        </w:rPr>
        <w:t xml:space="preserve">Banker</w:t>
      </w:r>
      <w:r>
        <w:t xml:space="preserve"> </w:t>
      </w:r>
      <w:r>
        <w:t xml:space="preserve">roles remains critical for trust-building in less digitized demographics.</w:t>
      </w:r>
    </w:p>
    <w:bookmarkEnd w:id="23"/>
    <w:bookmarkStart w:id="24" w:name="regulatory-compliance-challenges"/>
    <w:p>
      <w:pPr>
        <w:pStyle w:val="Heading3"/>
      </w:pPr>
      <w:r>
        <w:t xml:space="preserve">4.2 Regulatory Compliance Challenges</w:t>
      </w:r>
    </w:p>
    <w:p>
      <w:pPr>
        <w:pStyle w:val="FirstParagraph"/>
      </w:pPr>
      <w:r>
        <w:t xml:space="preserve">The simulated compliance audit revealed that many institutions operating in</w:t>
      </w:r>
    </w:p>
    <w:p>
      <w:pPr>
        <w:pStyle w:val="BodyText"/>
      </w:pPr>
      <w:r>
        <w:t xml:space="preserve">Spain Valencia</w:t>
      </w:r>
    </w:p>
    <w:p>
      <w:pPr>
        <w:pStyle w:val="BodyText"/>
      </w:pPr>
      <w:r>
        <w:t xml:space="preserve">Banker has evolved to include extensive digital literacy and regulatory oversight duties. In</w:t>
      </w:r>
      <w:r>
        <w:t xml:space="preserve"> </w:t>
      </w:r>
      <w:r>
        <w:rPr>
          <w:bCs/>
          <w:b/>
        </w:rPr>
        <w:t xml:space="preserve">Spain ValenciaBanker</w:t>
      </w:r>
      <w:r>
        <w:t xml:space="preserve"> </w:t>
      </w:r>
      <w:r>
        <w:t xml:space="preserve">personnel.</w:t>
      </w:r>
    </w:p>
    <w:bookmarkEnd w:id="24"/>
    <w:bookmarkStart w:id="25" w:name="market-specifics-of-spain-valencia"/>
    <w:p>
      <w:pPr>
        <w:pStyle w:val="Heading3"/>
      </w:pPr>
      <w:r>
        <w:t xml:space="preserve">4.3 Market Specifics of Spain Valencia</w:t>
      </w:r>
    </w:p>
    <w:p>
      <w:pPr>
        <w:pStyle w:val="FirstParagraph"/>
      </w:pPr>
      <w:r>
        <w:t xml:space="preserve">The unique economic landscape of</w:t>
      </w:r>
    </w:p>
    <w:p>
      <w:pPr>
        <w:pStyle w:val="BodyText"/>
      </w:pPr>
      <w:r>
        <w:t xml:space="preserve">Spain Valencia</w:t>
      </w:r>
    </w:p>
    <w:p>
      <w:pPr>
        <w:pStyle w:val="BodyText"/>
      </w:pPr>
      <w:r>
        <w:t xml:space="preserve">Banker institutions are increasingly offering specialized products tailored to hospitality businesses, such as dynamic credit lines that adjust based on seasonal cash flow. This localization is a key success factor in the</w:t>
      </w:r>
    </w:p>
    <w:p>
      <w:pPr>
        <w:pStyle w:val="BodyText"/>
      </w:pPr>
      <w:r>
        <w:t xml:space="preserve">Spain Valencia</w:t>
      </w:r>
    </w:p>
    <w:bookmarkEnd w:id="25"/>
    <w:bookmarkEnd w:id="26"/>
    <w:bookmarkStart w:id="27" w:name="discussion"/>
    <w:p>
      <w:pPr>
        <w:pStyle w:val="Heading2"/>
      </w:pPr>
      <w:r>
        <w:t xml:space="preserve">5. Discussion</w:t>
      </w:r>
    </w:p>
    <w:p>
      <w:pPr>
        <w:pStyle w:val="FirstParagraph"/>
      </w:pPr>
      <w:r>
        <w:t xml:space="preserve">The findings suggest that the traditional definition of a</w:t>
      </w:r>
    </w:p>
    <w:p>
      <w:pPr>
        <w:pStyle w:val="BodyText"/>
      </w:pPr>
      <w:r>
        <w:t xml:space="preserve">Banker</w:t>
      </w:r>
    </w:p>
    <w:p>
      <w:pPr>
        <w:pStyle w:val="BodyText"/>
      </w:pPr>
      <w:r>
        <w:t xml:space="preserve">Spain Valencia</w:t>
      </w:r>
    </w:p>
    <w:p>
      <w:pPr>
        <w:pStyle w:val="BodyText"/>
      </w:pPr>
      <w:r>
        <w:t xml:space="preserve">. The modern</w:t>
      </w:r>
    </w:p>
    <w:p>
      <w:pPr>
        <w:pStyle w:val="BodyText"/>
      </w:pPr>
      <w:r>
        <w:t xml:space="preserve">Banker</w:t>
      </w:r>
    </w:p>
    <w:p>
      <w:pPr>
        <w:pStyle w:val="BodyText"/>
      </w:pPr>
      <w:r>
        <w:t xml:space="preserve">Spain Valencia</w:t>
      </w:r>
    </w:p>
    <w:p>
      <w:pPr>
        <w:pStyle w:val="BodyText"/>
      </w:pPr>
      <w:r>
        <w:t xml:space="preserve">, this means understanding not just national regulations but also regional economic cycles driven by tourism and agriculture.</w:t>
      </w:r>
    </w:p>
    <w:p>
      <w:pPr>
        <w:pStyle w:val="BodyText"/>
      </w:pPr>
      <w:r>
        <w:t xml:space="preserve">Furthermore, the Lab Report identifies a gap in service continuity. When digital systems fail or when complex queries arise, customers in</w:t>
      </w:r>
    </w:p>
    <w:p>
      <w:pPr>
        <w:pStyle w:val="BodyText"/>
      </w:pPr>
      <w:r>
        <w:t xml:space="preserve">Spain Valencia</w:t>
      </w:r>
    </w:p>
    <w:p>
      <w:pPr>
        <w:pStyle w:val="BodyText"/>
      </w:pPr>
      <w:r>
        <w:t xml:space="preserve">Banker</w:t>
      </w:r>
    </w:p>
    <w:p>
      <w:pPr>
        <w:pStyle w:val="BodyText"/>
      </w:pPr>
      <w:r>
        <w:t xml:space="preserve">Spain Valencia</w:t>
      </w:r>
    </w:p>
    <w:bookmarkEnd w:id="27"/>
    <w:bookmarkStart w:id="28" w:name="conclusion"/>
    <w:p>
      <w:pPr>
        <w:pStyle w:val="Heading2"/>
      </w:pPr>
      <w:r>
        <w:t xml:space="preserve">6. Conclusion</w:t>
      </w:r>
    </w:p>
    <w:p>
      <w:pPr>
        <w:pStyle w:val="FirstParagraph"/>
      </w:pPr>
      <w:r>
        <w:t xml:space="preserve">This Lab Report concludes that the banking sector in</w:t>
      </w:r>
    </w:p>
    <w:p>
      <w:pPr>
        <w:pStyle w:val="BodyText"/>
      </w:pPr>
      <w:r>
        <w:t xml:space="preserve">Spain Valencia</w:t>
      </w:r>
    </w:p>
    <w:p>
      <w:pPr>
        <w:pStyle w:val="BodyText"/>
      </w:pPr>
      <w:r>
        <w:t xml:space="preserve">Banker</w:t>
      </w:r>
    </w:p>
    <w:p>
      <w:pPr>
        <w:pStyle w:val="BodyText"/>
      </w:pPr>
      <w:r>
        <w:t xml:space="preserve">Spain Valencia</w:t>
      </w:r>
    </w:p>
    <w:p>
      <w:pPr>
        <w:pStyle w:val="BodyText"/>
      </w:pPr>
      <w:r>
        <w:t xml:space="preserve">Banker</w:t>
      </w:r>
    </w:p>
    <w:bookmarkEnd w:id="28"/>
    <w:bookmarkStart w:id="29" w:name="recommendations"/>
    <w:p>
      <w:pPr>
        <w:pStyle w:val="Heading2"/>
      </w:pPr>
      <w:r>
        <w:t xml:space="preserve">7. Recommendations</w:t>
      </w:r>
    </w:p>
    <w:p>
      <w:pPr>
        <w:numPr>
          <w:ilvl w:val="0"/>
          <w:numId w:val="1002"/>
        </w:numPr>
        <w:pStyle w:val="Compact"/>
      </w:pPr>
      <w:r>
        <w:t xml:space="preserve">Enhanced Training:</w:t>
      </w:r>
    </w:p>
    <w:p>
      <w:pPr>
        <w:numPr>
          <w:ilvl w:val="0"/>
          <w:numId w:val="1000"/>
        </w:numPr>
        <w:pStyle w:val="Compact"/>
      </w:pPr>
      <w:r>
        <w:t xml:space="preserve">All</w:t>
      </w:r>
    </w:p>
    <w:p>
      <w:pPr>
        <w:numPr>
          <w:ilvl w:val="0"/>
          <w:numId w:val="1000"/>
        </w:numPr>
        <w:pStyle w:val="Compact"/>
      </w:pPr>
      <w:r>
        <w:t xml:space="preserve">Banker</w:t>
      </w:r>
    </w:p>
    <w:p>
      <w:pPr>
        <w:numPr>
          <w:ilvl w:val="0"/>
          <w:numId w:val="1000"/>
        </w:numPr>
        <w:pStyle w:val="Compact"/>
      </w:pPr>
      <w:r>
        <w:t xml:space="preserve">Spain Valencia</w:t>
      </w:r>
    </w:p>
    <w:p>
      <w:pPr>
        <w:numPr>
          <w:ilvl w:val="0"/>
          <w:numId w:val="1002"/>
        </w:numPr>
        <w:pStyle w:val="Compact"/>
      </w:pPr>
      <w:r>
        <w:t xml:space="preserve">Localized Products:</w:t>
      </w:r>
    </w:p>
    <w:p>
      <w:pPr>
        <w:numPr>
          <w:ilvl w:val="0"/>
          <w:numId w:val="1000"/>
        </w:numPr>
        <w:pStyle w:val="Compact"/>
      </w:pPr>
      <w:r>
        <w:t xml:space="preserve">Spain Valencia</w:t>
      </w:r>
    </w:p>
    <w:p>
      <w:pPr>
        <w:numPr>
          <w:ilvl w:val="0"/>
          <w:numId w:val="1002"/>
        </w:numPr>
        <w:pStyle w:val="Compact"/>
      </w:pPr>
      <w:r>
        <w:t xml:space="preserve">Hybrid Service Models:</w:t>
      </w:r>
    </w:p>
    <w:p>
      <w:pPr>
        <w:numPr>
          <w:ilvl w:val="0"/>
          <w:numId w:val="1000"/>
        </w:numPr>
        <w:pStyle w:val="Compact"/>
      </w:pPr>
      <w:r>
        <w:t xml:space="preserve">Banker</w:t>
      </w:r>
    </w:p>
    <w:p>
      <w:pPr>
        <w:numPr>
          <w:ilvl w:val="0"/>
          <w:numId w:val="1002"/>
        </w:numPr>
        <w:pStyle w:val="Compact"/>
      </w:pPr>
      <w:r>
        <w:t xml:space="preserve">Regulatory Tech Investment:</w:t>
      </w:r>
    </w:p>
    <w:p>
      <w:pPr>
        <w:numPr>
          <w:ilvl w:val="0"/>
          <w:numId w:val="1000"/>
        </w:numPr>
        <w:pStyle w:val="Compact"/>
      </w:pPr>
      <w:r>
        <w:t xml:space="preserve">Banker</w:t>
      </w:r>
    </w:p>
    <w:p>
      <w:pPr>
        <w:numPr>
          <w:ilvl w:val="0"/>
          <w:numId w:val="1000"/>
        </w:numPr>
        <w:pStyle w:val="Compact"/>
      </w:pPr>
      <w:r>
        <w:t xml:space="preserve">Spain Valencia</w:t>
      </w:r>
    </w:p>
    <w:p>
      <w:pPr>
        <w:numPr>
          <w:ilvl w:val="0"/>
          <w:numId w:val="1000"/>
        </w:numPr>
        <w:pStyle w:val="Compact"/>
      </w:pPr>
      <w:r>
        <w:t xml:space="preserve">.</w:t>
      </w:r>
    </w:p>
    <w:p>
      <w:pPr>
        <w:pStyle w:val="FirstParagraph"/>
      </w:pPr>
      <w:r>
        <w:rPr>
          <w:iCs/>
          <w:i/>
        </w:rPr>
        <w:t xml:space="preserve">This document serves as a definitive guide for stakeholders interested in the banking landscape of</w:t>
      </w:r>
      <w:r>
        <w:rPr>
          <w:iCs/>
          <w:i/>
        </w:rPr>
        <w:t xml:space="preserve"> </w:t>
      </w:r>
      <w:r>
        <w:rPr>
          <w:bCs/>
          <w:b/>
          <w:iCs/>
          <w:i/>
        </w:rPr>
        <w:t xml:space="preserve">Spain Valencia</w:t>
      </w:r>
      <w:r>
        <w:rPr>
          <w:iCs/>
          <w:i/>
        </w:rPr>
        <w:t xml:space="preserve">, emphasizing the evolving and critical role of the professional</w:t>
      </w:r>
      <w:r>
        <w:rPr>
          <w:iCs/>
          <w:i/>
        </w:rPr>
        <w:t xml:space="preserve"> </w:t>
      </w:r>
      <w:r>
        <w:rPr>
          <w:bCs/>
          <w:b/>
          <w:iCs/>
          <w:i/>
        </w:rPr>
        <w:t xml:space="preserve">Banker</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Protocols in Spain Valencia</dc:title>
  <dc:creator/>
  <dc:language>en</dc:language>
  <cp:keywords/>
  <dcterms:created xsi:type="dcterms:W3CDTF">2026-07-29T14:23:55Z</dcterms:created>
  <dcterms:modified xsi:type="dcterms:W3CDTF">2026-07-29T14:23:55Z</dcterms:modified>
</cp:coreProperties>
</file>

<file path=docProps/custom.xml><?xml version="1.0" encoding="utf-8"?>
<Properties xmlns="http://schemas.openxmlformats.org/officeDocument/2006/custom-properties" xmlns:vt="http://schemas.openxmlformats.org/officeDocument/2006/docPropsVTypes"/>
</file>