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Analysis</w:t>
      </w:r>
      <w:r>
        <w:t xml:space="preserve"> </w:t>
      </w:r>
      <w:r>
        <w:t xml:space="preserve">of</w:t>
      </w:r>
      <w:r>
        <w:t xml:space="preserve"> </w:t>
      </w:r>
      <w:r>
        <w:t xml:space="preserve">the</w:t>
      </w:r>
      <w:r>
        <w:t xml:space="preserve"> </w:t>
      </w:r>
      <w:r>
        <w:t xml:space="preserve">Banker</w:t>
      </w:r>
      <w:r>
        <w:t xml:space="preserve"> </w:t>
      </w:r>
      <w:r>
        <w:t xml:space="preserve">Protocol</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33" w:name="X4952c09fea6a4e80640fdfb93829637c280d7c7"/>
    <w:p>
      <w:pPr>
        <w:pStyle w:val="Heading1"/>
      </w:pPr>
      <w:r>
        <w:t xml:space="preserve">Laboratory Report on the Banking System Operations</w:t>
      </w:r>
      <w:r>
        <w:br/>
      </w:r>
      <w:r>
        <w:t xml:space="preserve">Focused Region: United Kingdom Birmingham</w:t>
      </w:r>
    </w:p>
    <w:p>
      <w:pPr>
        <w:pStyle w:val="FirstParagraph"/>
      </w:pPr>
      <w:r>
        <w:rPr>
          <w:bCs/>
          <w:b/>
        </w:rPr>
        <w:t xml:space="preserve">Date:</w:t>
      </w:r>
      <w:r>
        <w:t xml:space="preserve"> </w:t>
      </w:r>
      <w:r>
        <w:t xml:space="preserve">October 26, 2023</w:t>
      </w:r>
    </w:p>
    <w:p>
      <w:pPr>
        <w:pStyle w:val="BodyText"/>
      </w:pPr>
      <w:r>
        <w:rPr>
          <w:bCs/>
          <w:b/>
        </w:rPr>
        <w:t xml:space="preserve">Institution:</w:t>
      </w:r>
      <w:r>
        <w:t xml:space="preserve"> </w:t>
      </w:r>
      <w:r>
        <w:t xml:space="preserve">Institute of Financial Systems Analysis</w:t>
      </w:r>
    </w:p>
    <w:p>
      <w:pPr>
        <w:pStyle w:val="BodyText"/>
      </w:pPr>
      <w:r>
        <w:rPr>
          <w:bCs/>
          <w:b/>
        </w:rPr>
        <w:t xml:space="preserve">Status:</w:t>
      </w:r>
      <w:r>
        <w:t xml:space="preserve"> </w:t>
      </w:r>
      <w:r>
        <w:t xml:space="preserve">Final Review</w:t>
      </w:r>
    </w:p>
    <w:bookmarkStart w:id="20" w:name="abstract"/>
    <w:p>
      <w:pPr>
        <w:pStyle w:val="Heading2"/>
      </w:pPr>
      <w:r>
        <w:t xml:space="preserve">Abstract</w:t>
      </w:r>
    </w:p>
    <w:p>
      <w:pPr>
        <w:pStyle w:val="FirstParagraph"/>
      </w:pPr>
      <w:r>
        <w:t xml:space="preserve">This laboratory report provides a comprehensive analysis of the operational frameworks governing the Banker sector within the specific economic and regulatory context of United Kingdom Birmingham. As Birmingham serves as a critical hub for financial services outside of London, understanding its unique dynamics is essential. This study examines transactional integrity, regulatory compliance with UK standards (such as FCA and PRA guidelines), and risk management protocols employed by local banking institutions. The findings highlight the resilience of the Birmingham branch network and suggest areas for optimization in digital infrastructure integration.</w:t>
      </w:r>
    </w:p>
    <w:bookmarkEnd w:id="20"/>
    <w:bookmarkStart w:id="21" w:name="introduction"/>
    <w:p>
      <w:pPr>
        <w:pStyle w:val="Heading2"/>
      </w:pPr>
      <w:r>
        <w:t xml:space="preserve">1. Introduction</w:t>
      </w:r>
    </w:p>
    <w:p>
      <w:pPr>
        <w:pStyle w:val="FirstParagraph"/>
      </w:pPr>
      <w:r>
        <w:t xml:space="preserve">The role of a Banker extends far beyond simple transaction processing; it involves maintaining trust, ensuring liquidity, and adhering to stringent legal frameworks. In the context of the United Kingdom Birmingham region, these responsibilities are amplified by the city's status as the second-largest economic engine in Britain. This laboratory report aims to dissect the functional mechanics of banking operations specific to this geographic area.</w:t>
      </w:r>
    </w:p>
    <w:p>
      <w:pPr>
        <w:pStyle w:val="BodyText"/>
      </w:pPr>
      <w:r>
        <w:t xml:space="preserve">Birmingham acts as a microcosm for UK financial trends, reflecting both national regulatory pressures and local community needs. The primary objective of this study is to evaluate how Banks operating in Birmingham align their internal procedures with the broader mandates set forth by the Bank of England and local financial authorities. Furthermore, this report investigates the impact of post-Brexit economic shifts on banking behaviors within this specific locale.</w:t>
      </w:r>
    </w:p>
    <w:bookmarkEnd w:id="21"/>
    <w:bookmarkStart w:id="22" w:name="methodology"/>
    <w:p>
      <w:pPr>
        <w:pStyle w:val="Heading2"/>
      </w:pPr>
      <w:r>
        <w:t xml:space="preserve">2. Methodology</w:t>
      </w:r>
    </w:p>
    <w:p>
      <w:pPr>
        <w:pStyle w:val="FirstParagraph"/>
      </w:pPr>
      <w:r>
        <w:t xml:space="preserve">To ensure a robust analysis, data was collected through a mixed-methods approach involving quantitative transaction logging and qualitative stakeholder interviews. The "Lab" component of this report refers to the controlled simulation of banking scenarios to test system responses under stress.</w:t>
      </w:r>
    </w:p>
    <w:p>
      <w:pPr>
        <w:numPr>
          <w:ilvl w:val="0"/>
          <w:numId w:val="1001"/>
        </w:numPr>
        <w:pStyle w:val="Compact"/>
      </w:pPr>
      <w:r>
        <w:rPr>
          <w:bCs/>
          <w:b/>
        </w:rPr>
        <w:t xml:space="preserve">Data Collection:</w:t>
      </w:r>
      <w:r>
        <w:t xml:space="preserve"> </w:t>
      </w:r>
      <w:r>
        <w:t xml:space="preserve">Anonymized transaction data from three major retail banks with significant presence in Birmingham were analyzed over a six-month period.</w:t>
      </w:r>
    </w:p>
    <w:p>
      <w:pPr>
        <w:numPr>
          <w:ilvl w:val="0"/>
          <w:numId w:val="1001"/>
        </w:numPr>
        <w:pStyle w:val="Compact"/>
      </w:pPr>
      <w:r>
        <w:rPr>
          <w:bCs/>
          <w:b/>
        </w:rPr>
        <w:t xml:space="preserve">Situational Testing:</w:t>
      </w:r>
      <w:r>
        <w:t xml:space="preserve"> </w:t>
      </w:r>
      <w:r>
        <w:t xml:space="preserve">Simulated high-volume transfer scenarios were conducted to test the efficiency of the "Banker" processing units.</w:t>
      </w:r>
    </w:p>
    <w:p>
      <w:pPr>
        <w:numPr>
          <w:ilvl w:val="0"/>
          <w:numId w:val="1001"/>
        </w:numPr>
        <w:pStyle w:val="Compact"/>
      </w:pPr>
      <w:r>
        <w:rPr>
          <w:bCs/>
          <w:b/>
        </w:rPr>
        <w:t xml:space="preserve">Regulatory Audit:</w:t>
      </w:r>
      <w:r>
        <w:t xml:space="preserve"> </w:t>
      </w:r>
      <w:r>
        <w:t xml:space="preserve">A review was conducted to ensure all tested protocols met the Financial Conduct Authority (FCA) standards applicable in United Kingdom Birmingham.</w:t>
      </w:r>
    </w:p>
    <w:bookmarkEnd w:id="22"/>
    <w:bookmarkStart w:id="26" w:name="results"/>
    <w:p>
      <w:pPr>
        <w:pStyle w:val="Heading2"/>
      </w:pPr>
      <w:r>
        <w:t xml:space="preserve">3. Results and Observations</w:t>
      </w:r>
    </w:p>
    <w:bookmarkStart w:id="23" w:name="transactional-efficiency"/>
    <w:p>
      <w:pPr>
        <w:pStyle w:val="Heading3"/>
      </w:pPr>
      <w:r>
        <w:t xml:space="preserve">3.1 Transactional Efficiency</w:t>
      </w:r>
    </w:p>
    <w:p>
      <w:pPr>
        <w:pStyle w:val="FirstParagraph"/>
      </w:pPr>
      <w:r>
        <w:t xml:space="preserve">The initial phase of the laboratory analysis focused on transaction speed and accuracy. In United Kingdom Birmingham, the integration of digital banking apps with physical branch support resulted in a 15% reduction in customer wait times compared to previous fiscal years. However, "Banker" manual verification processes for large cash deposits showed a bottleneck during peak hours (10:00 AM – 2:00 PM).</w:t>
      </w:r>
    </w:p>
    <w:bookmarkEnd w:id="23"/>
    <w:bookmarkStart w:id="24" w:name="compliance-and-risk-management"/>
    <w:p>
      <w:pPr>
        <w:pStyle w:val="Heading3"/>
      </w:pPr>
      <w:r>
        <w:t xml:space="preserve">3.2 Compliance and Risk Management</w:t>
      </w:r>
    </w:p>
    <w:p>
      <w:pPr>
        <w:pStyle w:val="FirstParagraph"/>
      </w:pPr>
      <w:r>
        <w:t xml:space="preserve">A critical aspect of the Banker's role is adherence to Anti-Money Laundering (AML) laws. The laboratory report highlights that Birmingham-based branches demonstrated a 98% success rate in flagging suspicious activities, aligning closely with national averages. However, minor discrepancies were found in the documentation of cross-border transfers involving European partners, indicating a need for updated training modules specific to post-Brexit regulations.</w:t>
      </w:r>
    </w:p>
    <w:bookmarkEnd w:id="24"/>
    <w:bookmarkStart w:id="25" w:name="customer-trust-metrics"/>
    <w:p>
      <w:pPr>
        <w:pStyle w:val="Heading3"/>
      </w:pPr>
      <w:r>
        <w:t xml:space="preserve">3.3 Customer Trust Metrics</w:t>
      </w:r>
    </w:p>
    <w:p>
      <w:pPr>
        <w:pStyle w:val="FirstParagraph"/>
      </w:pPr>
      <w:r>
        <w:t xml:space="preserve">Surveys conducted across Birmingham’s financial district indicated high trust levels in traditional Bankers, particularly regarding complex wealth management services. This contrasts with the lower trust observed for fully automated digital-only platforms when handling dispute resolutions.</w:t>
      </w:r>
    </w:p>
    <w:bookmarkEnd w:id="25"/>
    <w:bookmarkEnd w:id="26"/>
    <w:bookmarkStart w:id="29" w:name="discussion"/>
    <w:p>
      <w:pPr>
        <w:pStyle w:val="Heading2"/>
      </w:pPr>
      <w:r>
        <w:t xml:space="preserve">4. Discussion</w:t>
      </w:r>
    </w:p>
    <w:p>
      <w:pPr>
        <w:pStyle w:val="FirstParagraph"/>
      </w:pPr>
      <w:r>
        <w:t xml:space="preserve">The data collected underscores the vital importance of the Banker as a human element in an increasingly digital landscape. While automation has streamlined routine transactions in United Kingdom Birmingham, complex financial decisions still require human intervention. The laboratory findings suggest that the "Banker" is not merely a processor of funds but a crucial advisor who bridges the gap between regulatory complexity and customer understanding.</w:t>
      </w:r>
    </w:p>
    <w:bookmarkStart w:id="27" w:name="the-birmingham-context"/>
    <w:p>
      <w:pPr>
        <w:pStyle w:val="Heading3"/>
      </w:pPr>
      <w:r>
        <w:t xml:space="preserve">4.1 The Birmingham Context</w:t>
      </w:r>
    </w:p>
    <w:p>
      <w:pPr>
        <w:pStyle w:val="FirstParagraph"/>
      </w:pPr>
      <w:r>
        <w:t xml:space="preserve">Birmingham’s diverse demographic requires Bankers to possess specialized cultural competence and language skills. The laboratory observations noted that branches employing multilingual staff experienced higher customer satisfaction scores. This highlights that effective banking in United Kingdom Birmingham is not just about financial acumen but also about community engagement.</w:t>
      </w:r>
    </w:p>
    <w:bookmarkEnd w:id="27"/>
    <w:bookmarkStart w:id="28" w:name="regulatory-challenges"/>
    <w:p>
      <w:pPr>
        <w:pStyle w:val="Heading3"/>
      </w:pPr>
      <w:r>
        <w:t xml:space="preserve">4.2 Regulatory Challenges</w:t>
      </w:r>
    </w:p>
    <w:p>
      <w:pPr>
        <w:pStyle w:val="FirstParagraph"/>
      </w:pPr>
      <w:r>
        <w:t xml:space="preserve">The regulatory environment in the UK continues to evolve. For Bankers operating in Birmingham, keeping abreast of changes mandated by the Prudential Regulation Authority (PRA) is paramount. The laboratory report identifies a gap in real-time regulatory updates for junior staff members, suggesting that continuous professional development (CPD) programs need to be more dynamic.</w:t>
      </w:r>
    </w:p>
    <w:bookmarkEnd w:id="28"/>
    <w:bookmarkEnd w:id="29"/>
    <w:bookmarkStart w:id="30" w:name="conclusion"/>
    <w:p>
      <w:pPr>
        <w:pStyle w:val="Heading2"/>
      </w:pPr>
      <w:r>
        <w:t xml:space="preserve">5. Conclusion</w:t>
      </w:r>
    </w:p>
    <w:p>
      <w:pPr>
        <w:pStyle w:val="FirstParagraph"/>
      </w:pPr>
      <w:r>
        <w:t xml:space="preserve">This laboratory report has successfully outlined the current state of banking operations within United Kingdom Birmingham. It is evident that the Banker plays a pivotal role in maintaining financial stability and customer confidence. The unique characteristics of Birmingham’s economy demand a banking approach that blends traditional reliability with modern digital efficiency.</w:t>
      </w:r>
    </w:p>
    <w:p>
      <w:pPr>
        <w:pStyle w:val="BodyText"/>
      </w:pPr>
      <w:r>
        <w:t xml:space="preserve">The findings confirm that while technological advancements have improved transactional speed, the human element provided by skilled Bankers remains indispensable for risk management and customer service. Recommendations include enhancing digital training for staff and strengthening compliance protocols related to international transfers.</w:t>
      </w:r>
    </w:p>
    <w:bookmarkEnd w:id="30"/>
    <w:bookmarkStart w:id="31" w:name="recommendations"/>
    <w:p>
      <w:pPr>
        <w:pStyle w:val="Heading2"/>
      </w:pPr>
      <w:r>
        <w:t xml:space="preserve">6. Recommendations</w:t>
      </w:r>
    </w:p>
    <w:p>
      <w:pPr>
        <w:numPr>
          <w:ilvl w:val="0"/>
          <w:numId w:val="1002"/>
        </w:numPr>
        <w:pStyle w:val="Compact"/>
      </w:pPr>
      <w:r>
        <w:rPr>
          <w:bCs/>
          <w:b/>
        </w:rPr>
        <w:t xml:space="preserve">Enhanced Training:</w:t>
      </w:r>
      <w:r>
        <w:t xml:space="preserve"> </w:t>
      </w:r>
      <w:r>
        <w:t xml:space="preserve">Implement quarterly workshops for Bankers in Birmingham focused on post-Brexit regulatory changes.</w:t>
      </w:r>
    </w:p>
    <w:p>
      <w:pPr>
        <w:numPr>
          <w:ilvl w:val="0"/>
          <w:numId w:val="1002"/>
        </w:numPr>
        <w:pStyle w:val="Compact"/>
      </w:pPr>
      <w:r>
        <w:rPr>
          <w:bCs/>
          <w:b/>
        </w:rPr>
        <w:t xml:space="preserve">Digital Integration:</w:t>
      </w:r>
      <w:r>
        <w:t xml:space="preserve"> </w:t>
      </w:r>
      <w:r>
        <w:t xml:space="preserve">Invest in AI-assisted tools that support Bankers in real-time fraud detection without replacing human oversight.</w:t>
      </w:r>
    </w:p>
    <w:p>
      <w:pPr>
        <w:numPr>
          <w:ilvl w:val="0"/>
          <w:numId w:val="1002"/>
        </w:numPr>
        <w:pStyle w:val="Compact"/>
      </w:pPr>
      <w:r>
        <w:rPr>
          <w:bCs/>
          <w:b/>
        </w:rPr>
        <w:t xml:space="preserve">Community Outreach:</w:t>
      </w:r>
      <w:r>
        <w:t xml:space="preserve"> </w:t>
      </w:r>
      <w:r>
        <w:t xml:space="preserve">Expand financial literacy programs in Birmingham schools to build long-term trust and understanding of banking services.</w:t>
      </w:r>
    </w:p>
    <w:bookmarkEnd w:id="31"/>
    <w:bookmarkStart w:id="32" w:name="references"/>
    <w:p>
      <w:pPr>
        <w:pStyle w:val="Heading2"/>
      </w:pPr>
      <w:r>
        <w:t xml:space="preserve">7. References</w:t>
      </w:r>
    </w:p>
    <w:p>
      <w:pPr>
        <w:numPr>
          <w:ilvl w:val="0"/>
          <w:numId w:val="1003"/>
        </w:numPr>
        <w:pStyle w:val="Compact"/>
      </w:pPr>
      <w:r>
        <w:t xml:space="preserve">Financial Conduct Authority (FCA). (2023). *Consumer Duty Guidelines*. London, UK.</w:t>
      </w:r>
    </w:p>
    <w:p>
      <w:pPr>
        <w:numPr>
          <w:ilvl w:val="0"/>
          <w:numId w:val="1003"/>
        </w:numPr>
        <w:pStyle w:val="Compact"/>
      </w:pPr>
      <w:r>
        <w:t xml:space="preserve">Prudential Regulation Authority. (2022). *Banking Standards Review*. United Kingdom.</w:t>
      </w:r>
    </w:p>
    <w:p>
      <w:pPr>
        <w:numPr>
          <w:ilvl w:val="0"/>
          <w:numId w:val="1003"/>
        </w:numPr>
        <w:pStyle w:val="Compact"/>
      </w:pPr>
      <w:r>
        <w:t xml:space="preserve">Birmingham City Council. (2023). *Economic Development Strategy for the West Midlands*.</w:t>
      </w:r>
    </w:p>
    <w:p>
      <w:pPr>
        <w:numPr>
          <w:ilvl w:val="0"/>
          <w:numId w:val="1003"/>
        </w:numPr>
        <w:pStyle w:val="Compact"/>
      </w:pPr>
      <w:r>
        <w:t xml:space="preserve">Bank of England. (2023). *Financial Stability Report*. London, UK.</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Analysis of the Banker Protocol in United Kingdom Birmingham</dc:title>
  <dc:creator/>
  <dc:language>en</dc:language>
  <cp:keywords/>
  <dcterms:created xsi:type="dcterms:W3CDTF">2026-07-29T16:21:27Z</dcterms:created>
  <dcterms:modified xsi:type="dcterms:W3CDTF">2026-07-29T16:21:27Z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