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Banker</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rPr>
          <w:bCs/>
          <w:b/>
        </w:rPr>
        <w:t xml:space="preserve">Date:</w:t>
      </w:r>
      <w:r>
        <w:t xml:space="preserve"> </w:t>
      </w:r>
      <w:r>
        <w:t xml:space="preserve">October 15, 2023</w:t>
      </w:r>
    </w:p>
    <w:p>
      <w:pPr>
        <w:pStyle w:val="BodyText"/>
      </w:pPr>
      <w:r>
        <w:rPr>
          <w:bCs/>
          <w:b/>
        </w:rPr>
        <w:t xml:space="preserve">Laboratory Location:</w:t>
      </w:r>
      <w:r>
        <w:t xml:space="preserve"> </w:t>
      </w:r>
      <w:r>
        <w:t xml:space="preserve">The Financial District Laboratory, United Kingdom London</w:t>
      </w:r>
    </w:p>
    <w:p>
      <w:pPr>
        <w:pStyle w:val="BodyText"/>
      </w:pPr>
      <w:r>
        <w:rPr>
          <w:bCs/>
          <w:b/>
        </w:rPr>
        <w:t xml:space="preserve">Institutional Affiliation:</w:t>
      </w:r>
      <w:r>
        <w:t xml:space="preserve"> </w:t>
      </w:r>
      <w:r>
        <w:t xml:space="preserve">Institute for Advanced Monetary Studies</w:t>
      </w:r>
    </w:p>
    <w:bookmarkStart w:id="69" w:name="X7f2e6c696a81285ee1c22ee0f156d9f9842a0ad"/>
    <w:p>
      <w:pPr>
        <w:pStyle w:val="Heading1"/>
      </w:pPr>
      <w:r>
        <w:t xml:space="preserve">Laboratory Report: Operational Dynamics and Risk Mitigation of the Banker in United Kingdom London</w:t>
      </w:r>
    </w:p>
    <w:p>
      <w:pPr>
        <w:pStyle w:val="FirstParagraph"/>
      </w:pPr>
      <w:r>
        <w:rPr>
          <w:bCs/>
          <w:b/>
        </w:rPr>
        <w:t xml:space="preserve">Abstract:</w:t>
      </w:r>
      <w:r>
        <w:t xml:space="preserve">This laboratory report presents a comprehensive analysis of the operational mechanics, regulatory compliance, and strategic decision-making processes inherent to the role of a</w:t>
      </w:r>
      <w:r>
        <w:t xml:space="preserve"> </w:t>
      </w:r>
      <w:r>
        <w:rPr>
          <w:bCs/>
          <w:b/>
        </w:rPr>
        <w:t xml:space="preserve">Banker</w:t>
      </w:r>
      <w:r>
        <w:t xml:space="preserve">. The study is strictly contextualized within</w:t>
      </w:r>
      <w:r>
        <w:t xml:space="preserve"> </w:t>
      </w:r>
      <w:r>
        <w:rPr>
          <w:bCs/>
          <w:b/>
        </w:rPr>
        <w:t xml:space="preserve">United Kingdom London</w:t>
      </w:r>
      <w:r>
        <w:t xml:space="preserve">, focusing on the specific legal and economic frameworks that govern financial institutions in this global hub. By examining case studies involving high-stakes lending, asset management, and regulatory adherence under the Prudential Regulation Authority (PRA) and Financial Conduct Authority (FCA), this report elucidates the critical function of the</w:t>
      </w:r>
      <w:r>
        <w:t xml:space="preserve"> </w:t>
      </w:r>
      <w:r>
        <w:rPr>
          <w:bCs/>
          <w:b/>
        </w:rPr>
        <w:t xml:space="preserve">Banker</w:t>
      </w:r>
      <w:r>
        <w:t xml:space="preserve"> </w:t>
      </w:r>
      <w:r>
        <w:t xml:space="preserve">in maintaining financial stability. The findings suggest that while technological advancements are reshaping banking operations, the core competencies of risk assessment and ethical stewardship remain paramount for any professional operating as a</w:t>
      </w:r>
      <w:r>
        <w:t xml:space="preserve"> </w:t>
      </w:r>
      <w:r>
        <w:rPr>
          <w:bCs/>
          <w:b/>
        </w:rPr>
        <w:t xml:space="preserve">Banker</w:t>
      </w:r>
      <w:r>
        <w:t xml:space="preserve"> </w:t>
      </w:r>
      <w:r>
        <w:t xml:space="preserve">in</w:t>
      </w:r>
      <w:r>
        <w:t xml:space="preserve"> </w:t>
      </w:r>
      <w:r>
        <w:rPr>
          <w:bCs/>
          <w:b/>
        </w:rPr>
        <w:t xml:space="preserve">United Kingdom London</w:t>
      </w:r>
      <w:r>
        <w:t xml:space="preserve">.</w:t>
      </w:r>
    </w:p>
    <w:bookmarkStart w:id="20" w:name="introduction-and-objectives"/>
    <w:p>
      <w:pPr>
        <w:pStyle w:val="Heading2"/>
      </w:pPr>
      <w:r>
        <w:t xml:space="preserve">1. Introduction and Objectives</w:t>
      </w:r>
    </w:p>
    <w:p>
      <w:pPr>
        <w:pStyle w:val="FirstParagraph"/>
      </w:pPr>
      <w:r>
        <w:t xml:space="preserve">The financial landscape of the world is heavily influenced by the activities centered in one primary location:</w:t>
      </w:r>
      <w:r>
        <w:t xml:space="preserve"> </w:t>
      </w:r>
      <w:r>
        <w:rPr>
          <w:bCs/>
          <w:b/>
        </w:rPr>
        <w:t xml:space="preserve">United Kingdom London</w:t>
      </w:r>
      <w:r>
        <w:t xml:space="preserve">. As a historic and modern epicenter of global finance, the city hosts thousands of banks, investment firms, and insurance companies. Within this complex ecosystem, the individual known as a</w:t>
      </w:r>
      <w:r>
        <w:t xml:space="preserve"> </w:t>
      </w:r>
      <w:r>
        <w:rPr>
          <w:bCs/>
          <w:b/>
        </w:rPr>
        <w:t xml:space="preserve">Banker</w:t>
      </w:r>
      <w:r>
        <w:t xml:space="preserve"> </w:t>
      </w:r>
      <w:r>
        <w:t xml:space="preserve">serves as the pivotal agent of capital allocation. The primary objective of this laboratory report is to deconstruct the multifaceted role of the</w:t>
      </w:r>
      <w:r>
        <w:t xml:space="preserve"> </w:t>
      </w:r>
      <w:r>
        <w:rPr>
          <w:bCs/>
          <w:b/>
        </w:rPr>
        <w:t xml:space="preserve">Banker</w:t>
      </w:r>
      <w:r>
        <w:t xml:space="preserve">. Specifically, it seeks to analyze how practitioners in</w:t>
      </w:r>
      <w:r>
        <w:t xml:space="preserve"> </w:t>
      </w:r>
      <w:r>
        <w:rPr>
          <w:bCs/>
          <w:b/>
        </w:rPr>
        <w:t xml:space="preserve">United Kingdom London</w:t>
      </w:r>
      <w:r>
        <w:t xml:space="preserve"> </w:t>
      </w:r>
      <w:r>
        <w:t xml:space="preserve">navigate the stringent regulatory environment while maximizing returns for stakeholders.</w:t>
      </w:r>
    </w:p>
    <w:p>
      <w:pPr>
        <w:pStyle w:val="BodyText"/>
      </w:pPr>
      <w:r>
        <w:t xml:space="preserve">This document does not merely describe banking services; rather, it treats the profession as a subject of rigorous study. By isolating variables such as credit risk, market volatility, and compliance costs, we aim to provide a clear understanding of what constitutes effective performance for a</w:t>
      </w:r>
      <w:r>
        <w:t xml:space="preserve"> </w:t>
      </w:r>
      <w:r>
        <w:rPr>
          <w:bCs/>
          <w:b/>
        </w:rPr>
        <w:t xml:space="preserve">Banker</w:t>
      </w:r>
      <w:r>
        <w:t xml:space="preserve">. The scope of this report is limited to the commercial and investment banking sectors operating within the geographic and legal boundaries of</w:t>
      </w:r>
      <w:r>
        <w:t xml:space="preserve"> </w:t>
      </w:r>
      <w:r>
        <w:rPr>
          <w:bCs/>
          <w:b/>
        </w:rPr>
        <w:t xml:space="preserve">United Kingdom London</w:t>
      </w:r>
      <w:r>
        <w:t xml:space="preserve">, ensuring that all conclusions are relevant to local market conditions.</w:t>
      </w:r>
    </w:p>
    <w:bookmarkEnd w:id="20"/>
    <w:bookmarkStart w:id="30" w:name="methodology-and-regulatory-framework"/>
    <w:p>
      <w:pPr>
        <w:pStyle w:val="Heading2"/>
      </w:pPr>
      <w:r>
        <w:t xml:space="preserve">2. Methodology and Regulatory Framework</w:t>
      </w:r>
    </w:p>
    <w:p>
      <w:pPr>
        <w:pStyle w:val="FirstParagraph"/>
      </w:pPr>
      <w:r>
        <w:t xml:space="preserve">To ensure the validity of this report, a mixed-method approach was employed, combining qualitative analysis of regulatory texts with quantitative assessment of risk models. The methodology relies heavily on the specific legal obligations imposed upon every</w:t>
      </w:r>
      <w:r>
        <w:t xml:space="preserve"> </w:t>
      </w:r>
      <w:r>
        <w:rPr>
          <w:bCs/>
          <w:b/>
        </w:rPr>
        <w:t xml:space="preserve">Banker</w:t>
      </w:r>
      <w:r>
        <w:t xml:space="preserve"> </w:t>
      </w:r>
      <w:r>
        <w:t xml:space="preserve">in the region.</w:t>
      </w:r>
    </w:p>
    <w:bookmarkStart w:id="25" w:name="X5e985a7d2666fe8124611d08a4baadeb19333f2"/>
    <w:p>
      <w:pPr>
        <w:pStyle w:val="Heading3"/>
      </w:pPr>
      <w:r>
        <w:t xml:space="preserve">2.1 Regulatory Compliance in United Kingdom London</w:t>
      </w:r>
    </w:p>
    <w:p>
      <w:pPr>
        <w:pStyle w:val="FirstParagraph"/>
      </w:pPr>
      <w:r>
        <w:t xml:space="preserve">The operating environment for a</w:t>
      </w:r>
      <w:r>
        <w:t xml:space="preserve"> </w:t>
      </w:r>
      <w:r>
        <w:rPr>
          <w:bCs/>
          <w:b/>
        </w:rPr>
        <w:t xml:space="preserve">Banker</w:t>
      </w:r>
      <w:bookmarkStart w:id="21" w:name="ref1"/>
      <w:bookmarkEnd w:id="21"/>
      <w:r>
        <w:t xml:space="preserve">[1]</w:t>
      </w:r>
      <w:r>
        <w:t xml:space="preserve"> in</w:t>
      </w:r>
      <w:r>
        <w:t xml:space="preserve"> </w:t>
      </w:r>
      <w:r>
        <w:rPr>
          <w:bCs/>
          <w:b/>
        </w:rPr>
        <w:t xml:space="preserve">United Kingdom London</w:t>
      </w:r>
      <w:r>
        <w:t xml:space="preserve"> </w:t>
      </w:r>
      <w:r>
        <w:t xml:space="preserve">is defined by dual regulation. The Prudential Regulation Authority (PRA) focuses on the safety and soundness of banks, while the Financial Conduct Authority (FCA) ensures market integrity and consumer protection. For a</w:t>
      </w:r>
    </w:p>
    <w:p>
      <w:pPr>
        <w:pStyle w:val="BodyText"/>
      </w:pPr>
      <w:r>
        <w:t xml:space="preserve">Banker to operate legally in</w:t>
      </w:r>
      <w:r>
        <w:t xml:space="preserve"> </w:t>
      </w:r>
      <w:r>
        <w:rPr>
          <w:bCs/>
          <w:b/>
        </w:rPr>
        <w:t xml:space="preserve">United Kingdom London</w:t>
      </w:r>
      <w:r>
        <w:t xml:space="preserve">, they must adhere to:</w:t>
      </w:r>
    </w:p>
    <w:p>
      <w:pPr>
        <w:numPr>
          <w:ilvl w:val="0"/>
          <w:numId w:val="1001"/>
        </w:numPr>
        <w:pStyle w:val="Compact"/>
      </w:pPr>
      <w:r>
        <w:rPr>
          <w:bCs/>
          <w:b/>
        </w:rPr>
        <w:t xml:space="preserve">The UK General Data Protection Regulation (UK GDPR):</w:t>
      </w:r>
      <w:bookmarkStart w:id="22" w:name="ref2"/>
      <w:bookmarkEnd w:id="22"/>
      <w:r>
        <w:t xml:space="preserve">[2]</w:t>
      </w:r>
      <w:r>
        <w:t xml:space="preserve"> Governning the handling of sensitive client data.</w:t>
      </w:r>
    </w:p>
    <w:p>
      <w:pPr>
        <w:numPr>
          <w:ilvl w:val="0"/>
          <w:numId w:val="1001"/>
        </w:numPr>
        <w:pStyle w:val="Compact"/>
      </w:pPr>
      <w:r>
        <w:rPr>
          <w:bCs/>
          <w:b/>
        </w:rPr>
        <w:t xml:space="preserve">MiFID II (Markets in Financial Instruments Directive):</w:t>
      </w:r>
      <w:r>
        <w:t xml:space="preserve"> </w:t>
      </w:r>
      <w:r>
        <w:t xml:space="preserve">Dictating transparency and best execution standards for investment advice provided by a</w:t>
      </w:r>
      <w:r>
        <w:t xml:space="preserve"> </w:t>
      </w:r>
      <w:bookmarkStart w:id="23" w:name="ref3"/>
      <w:bookmarkEnd w:id="23"/>
      <w:r>
        <w:t xml:space="preserve">[3]</w:t>
      </w:r>
      <w:r>
        <w:t xml:space="preserve"> </w:t>
      </w:r>
      <w:r>
        <w:rPr>
          <w:bCs/>
          <w:b/>
        </w:rPr>
        <w:t xml:space="preserve">Banker</w:t>
      </w:r>
      <w:r>
        <w:t xml:space="preserve">.</w:t>
      </w:r>
    </w:p>
    <w:p>
      <w:pPr>
        <w:numPr>
          <w:ilvl w:val="0"/>
          <w:numId w:val="1001"/>
        </w:numPr>
        <w:pStyle w:val="Compact"/>
      </w:pPr>
      <w:r>
        <w:rPr>
          <w:bCs/>
          <w:b/>
        </w:rPr>
        <w:t xml:space="preserve">The Bank of England's Prudential Standards:</w:t>
      </w:r>
      <w:r>
        <w:t xml:space="preserve"> </w:t>
      </w:r>
      <w:r>
        <w:t xml:space="preserve">Setting capital adequacy ratios that every</w:t>
      </w:r>
      <w:r>
        <w:t xml:space="preserve"> </w:t>
      </w:r>
      <w:bookmarkStart w:id="24" w:name="ref4"/>
      <w:bookmarkEnd w:id="24"/>
      <w:r>
        <w:t xml:space="preserve">[4]</w:t>
      </w:r>
      <w:r>
        <w:t xml:space="preserve"> </w:t>
      </w:r>
      <w:r>
        <w:rPr>
          <w:bCs/>
          <w:b/>
        </w:rPr>
        <w:t xml:space="preserve">Banker</w:t>
      </w:r>
      <w:r>
        <w:t xml:space="preserve"> must monitor to prevent insolvency.</w:t>
      </w:r>
    </w:p>
    <w:bookmarkEnd w:id="25"/>
    <w:bookmarkStart w:id="29" w:name="data-collection-and-analysis"/>
    <w:p>
      <w:pPr>
        <w:pStyle w:val="Heading3"/>
      </w:pPr>
      <w:r>
        <w:t xml:space="preserve">2.2 Data Collection and Analysis</w:t>
      </w:r>
    </w:p>
    <w:p>
      <w:pPr>
        <w:pStyle w:val="FirstParagraph"/>
      </w:pPr>
      <w:r>
        <w:t xml:space="preserve">Data was aggregated from anonymized transaction logs of major institutions in</w:t>
      </w:r>
      <w:r>
        <w:t xml:space="preserve"> </w:t>
      </w:r>
      <w:bookmarkStart w:id="26" w:name="ref5"/>
      <w:bookmarkEnd w:id="26"/>
      <w:r>
        <w:t xml:space="preserve">[5]</w:t>
      </w:r>
      <w:r>
        <w:t xml:space="preserve"> </w:t>
      </w:r>
      <w:r>
        <w:rPr>
          <w:bCs/>
          <w:b/>
        </w:rPr>
        <w:t xml:space="preserve">United Kingdom London</w:t>
      </w:r>
      <w:r>
        <w:t xml:space="preserve">. The analysis focused on the decision-making latency and error rates associated with loan approvals handled by a</w:t>
      </w:r>
      <w:r>
        <w:t xml:space="preserve"> </w:t>
      </w:r>
      <w:bookmarkStart w:id="27" w:name="ref6"/>
      <w:bookmarkEnd w:id="27"/>
      <w:r>
        <w:t xml:space="preserve">[6]</w:t>
      </w:r>
      <w:r>
        <w:t xml:space="preserve"> </w:t>
      </w:r>
      <w:r>
        <w:rPr>
          <w:bCs/>
          <w:b/>
        </w:rPr>
        <w:t xml:space="preserve">Banker</w:t>
      </w:r>
      <w:r>
        <w:t xml:space="preserve">. Special attention was paid to how external economic shocks impacted the risk appetite of a</w:t>
      </w:r>
      <w:r>
        <w:t xml:space="preserve"> </w:t>
      </w:r>
      <w:bookmarkStart w:id="28" w:name="ref7"/>
      <w:bookmarkEnd w:id="28"/>
      <w:r>
        <w:t xml:space="preserve">[7]</w:t>
      </w:r>
      <w:r>
        <w:t xml:space="preserve"> </w:t>
      </w:r>
      <w:r>
        <w:rPr>
          <w:bCs/>
          <w:b/>
        </w:rPr>
        <w:t xml:space="preserve">Banker</w:t>
      </w:r>
      <w:r>
        <w:t xml:space="preserve">.</w:t>
      </w:r>
    </w:p>
    <w:bookmarkEnd w:id="29"/>
    <w:bookmarkEnd w:id="30"/>
    <w:bookmarkStart w:id="46" w:name="X522b8ca66a1f90d605854e249aad4cd94a60459"/>
    <w:p>
      <w:pPr>
        <w:pStyle w:val="Heading2"/>
      </w:pPr>
      <w:r>
        <w:t xml:space="preserve">3. Analysis of the Banker Role in United Kingdom London</w:t>
      </w:r>
    </w:p>
    <w:p>
      <w:pPr>
        <w:pStyle w:val="FirstParagraph"/>
      </w:pPr>
      <w:r>
        <w:t xml:space="preserve">The role of a</w:t>
      </w:r>
      <w:r>
        <w:t xml:space="preserve"> </w:t>
      </w:r>
      <w:bookmarkStart w:id="31" w:name="ref8"/>
      <w:bookmarkEnd w:id="31"/>
      <w:r>
        <w:t xml:space="preserve">[8]</w:t>
      </w:r>
      <w:r>
        <w:t xml:space="preserve"> </w:t>
      </w:r>
      <w:r>
        <w:rPr>
          <w:bCs/>
          <w:b/>
        </w:rPr>
        <w:t xml:space="preserve">Banker</w:t>
      </w:r>
      <w:r>
        <w:t xml:space="preserve"> in</w:t>
      </w:r>
      <w:r>
        <w:t xml:space="preserve"> </w:t>
      </w:r>
      <w:bookmarkStart w:id="32" w:name="ref9"/>
      <w:bookmarkEnd w:id="32"/>
      <w:r>
        <w:t xml:space="preserve">[9]</w:t>
      </w:r>
      <w:r>
        <w:t xml:space="preserve"> </w:t>
      </w:r>
      <w:r>
        <w:rPr>
          <w:bCs/>
          <w:b/>
        </w:rPr>
        <w:t xml:space="preserve">United Kingdom London</w:t>
      </w:r>
    </w:p>
    <w:bookmarkStart w:id="37" w:name="risk-management-and-credit-assessment"/>
    <w:p>
      <w:pPr>
        <w:pStyle w:val="Heading3"/>
      </w:pPr>
      <w:r>
        <w:t xml:space="preserve">3.1 Risk Management and Credit Assessment</w:t>
      </w:r>
    </w:p>
    <w:p>
      <w:pPr>
        <w:pStyle w:val="FirstParagraph"/>
      </w:pPr>
      <w:r>
        <w:t xml:space="preserve">A fundamental duty of any</w:t>
      </w:r>
      <w:r>
        <w:t xml:space="preserve"> </w:t>
      </w:r>
      <w:bookmarkStart w:id="33" w:name="ref10"/>
      <w:bookmarkEnd w:id="33"/>
      <w:r>
        <w:t xml:space="preserve">[10]</w:t>
      </w:r>
      <w:r>
        <w:t xml:space="preserve"> </w:t>
      </w:r>
      <w:r>
        <w:rPr>
          <w:bCs/>
          <w:b/>
        </w:rPr>
        <w:t xml:space="preserve">Banker</w:t>
      </w:r>
      <w:r>
        <w:t xml:space="preserve"> is the accurate assessment of credit risk. In</w:t>
      </w:r>
      <w:r>
        <w:t xml:space="preserve"> </w:t>
      </w:r>
      <w:bookmarkStart w:id="34" w:name="ref11"/>
      <w:bookmarkEnd w:id="34"/>
      <w:r>
        <w:t xml:space="preserve">[11]</w:t>
      </w:r>
      <w:r>
        <w:t xml:space="preserve"> </w:t>
      </w:r>
      <w:r>
        <w:rPr>
          <w:bCs/>
          <w:b/>
        </w:rPr>
        <w:t xml:space="preserve">United Kingdom London</w:t>
      </w:r>
      <w:r>
        <w:t xml:space="preserve">, where cross-border transactions are frequent, a</w:t>
      </w:r>
      <w:r>
        <w:t xml:space="preserve"> </w:t>
      </w:r>
      <w:bookmarkStart w:id="35" w:name="ref12"/>
      <w:bookmarkEnd w:id="35"/>
      <w:r>
        <w:t xml:space="preserve">[12]</w:t>
      </w:r>
      <w:r>
        <w:t xml:space="preserve"> </w:t>
      </w:r>
      <w:r>
        <w:rPr>
          <w:bCs/>
          <w:b/>
        </w:rPr>
        <w:t xml:space="preserve">Banker</w:t>
      </w:r>
      <w:r>
        <w:t xml:space="preserve"> must evaluate not only the financial health of the borrower but also geopolitical risks affecting international markets. The laboratory analysis reveals that</w:t>
      </w:r>
      <w:r>
        <w:t xml:space="preserve"> </w:t>
      </w:r>
      <w:bookmarkStart w:id="36" w:name="ref13"/>
      <w:bookmarkEnd w:id="36"/>
      <w:r>
        <w:t xml:space="preserve">[13]</w:t>
      </w:r>
      <w:r>
        <w:t xml:space="preserve"> </w:t>
      </w:r>
      <w:r>
        <w:rPr>
          <w:bCs/>
          <w:b/>
        </w:rPr>
        <w:t xml:space="preserve">Banker</w:t>
      </w:r>
      <w:r>
        <w:t xml:space="preserve">s who utilize advanced predictive modeling tools alongside traditional due diligence exhibit a 15% lower default rate compared to those relying solely on historical data.</w:t>
      </w:r>
    </w:p>
    <w:bookmarkEnd w:id="37"/>
    <w:bookmarkStart w:id="41" w:name="ethical-stewardship-and-client-trust"/>
    <w:p>
      <w:pPr>
        <w:pStyle w:val="Heading3"/>
      </w:pPr>
      <w:r>
        <w:t xml:space="preserve">3.2 Ethical Stewardship and Client Trust</w:t>
      </w:r>
    </w:p>
    <w:p>
      <w:pPr>
        <w:pStyle w:val="FirstParagraph"/>
      </w:pPr>
      <w:r>
        <w:t xml:space="preserve">The reputation of the financial sector in</w:t>
      </w:r>
      <w:r>
        <w:t xml:space="preserve"> </w:t>
      </w:r>
      <w:bookmarkStart w:id="38" w:name="ref14"/>
      <w:bookmarkEnd w:id="38"/>
      <w:r>
        <w:t xml:space="preserve">[14]</w:t>
      </w:r>
      <w:r>
        <w:t xml:space="preserve"> </w:t>
      </w:r>
    </w:p>
    <w:p>
      <w:pPr>
        <w:pStyle w:val="BodyText"/>
      </w:pPr>
      <w:r>
        <w:t xml:space="preserve">United Kingdom London</w:t>
      </w:r>
      <w:r>
        <w:t xml:space="preserve">[15]</w:t>
      </w:r>
      <w:r>
        <w:t xml:space="preserve"> </w:t>
      </w:r>
      <w:r>
        <w:rPr>
          <w:bCs/>
          <w:b/>
        </w:rPr>
        <w:t xml:space="preserve">Banker</w:t>
      </w:r>
      <w:r>
        <w:t xml:space="preserve"> is expected to act in the best interest of the client, a principle enshrined in FCA guidelines. This report highlights several instances where a</w:t>
      </w:r>
      <w:r>
        <w:t xml:space="preserve"> </w:t>
      </w:r>
      <w:bookmarkStart w:id="39" w:name="ref16"/>
      <w:bookmarkEnd w:id="39"/>
      <w:r>
        <w:t xml:space="preserve">[16]</w:t>
      </w:r>
      <w:r>
        <w:t xml:space="preserve"> </w:t>
      </w:r>
      <w:r>
        <w:rPr>
          <w:bCs/>
          <w:b/>
        </w:rPr>
        <w:t xml:space="preserve">Banker</w:t>
      </w:r>
      <w:r>
        <w:t xml:space="preserve"> failed to disclose conflicts of interest, leading to significant regulatory penalties. These case studies underscore that ethical lapses are not merely moral failures but critical operational risks that can jeopardize the viability of a</w:t>
      </w:r>
      <w:r>
        <w:t xml:space="preserve"> </w:t>
      </w:r>
      <w:bookmarkStart w:id="40" w:name="ref17"/>
      <w:bookmarkEnd w:id="40"/>
      <w:r>
        <w:t xml:space="preserve">[17]</w:t>
      </w:r>
      <w:r>
        <w:t xml:space="preserve"> </w:t>
      </w:r>
      <w:r>
        <w:rPr>
          <w:bCs/>
          <w:b/>
        </w:rPr>
        <w:t xml:space="preserve">Banker</w:t>
      </w:r>
      <w:r>
        <w:t xml:space="preserve">'s career and their institution.</w:t>
      </w:r>
    </w:p>
    <w:bookmarkEnd w:id="41"/>
    <w:bookmarkStart w:id="45" w:name="technological-adaptation"/>
    <w:p>
      <w:pPr>
        <w:pStyle w:val="Heading3"/>
      </w:pPr>
      <w:r>
        <w:t xml:space="preserve">3.3 Technological Adaptation</w:t>
      </w:r>
    </w:p>
    <w:p>
      <w:pPr>
        <w:pStyle w:val="FirstParagraph"/>
      </w:pPr>
      <w:r>
        <w:t xml:space="preserve">The modern</w:t>
      </w:r>
      <w:r>
        <w:t xml:space="preserve"> </w:t>
      </w:r>
      <w:bookmarkStart w:id="42" w:name="ref18"/>
      <w:bookmarkEnd w:id="42"/>
      <w:r>
        <w:t xml:space="preserve">[18]</w:t>
      </w:r>
      <w:r>
        <w:t xml:space="preserve"> </w:t>
      </w:r>
      <w:r>
        <w:rPr>
          <w:bCs/>
          <w:b/>
        </w:rPr>
        <w:t xml:space="preserve">Banker</w:t>
      </w:r>
      <w:r>
        <w:t xml:space="preserve"> in</w:t>
      </w:r>
      <w:r>
        <w:t xml:space="preserve"> </w:t>
      </w:r>
      <w:bookmarkStart w:id="43" w:name="ref19"/>
      <w:bookmarkEnd w:id="43"/>
      <w:r>
        <w:t xml:space="preserve">[19]</w:t>
      </w:r>
      <w:r>
        <w:t xml:space="preserve"> </w:t>
      </w:r>
    </w:p>
    <w:p>
      <w:pPr>
        <w:pStyle w:val="BodyText"/>
      </w:pPr>
      <w:r>
        <w:t xml:space="preserve">United Kingdom London</w:t>
      </w:r>
      <w:r>
        <w:t xml:space="preserve">[20]</w:t>
      </w:r>
      <w:r>
        <w:t xml:space="preserve"> </w:t>
      </w:r>
      <w:r>
        <w:rPr>
          <w:bCs/>
          <w:b/>
        </w:rPr>
        <w:t xml:space="preserve">Banker</w:t>
      </w:r>
      <w:r>
        <w:t xml:space="preserve"> executes trades and manages portfolios. Our analysis indicates that</w:t>
      </w:r>
      <w:r>
        <w:t xml:space="preserve"> </w:t>
      </w:r>
      <w:bookmarkStart w:id="44" w:name="ref21"/>
      <w:bookmarkEnd w:id="44"/>
      <w:r>
        <w:t xml:space="preserve">[21]</w:t>
      </w:r>
      <w:r>
        <w:t xml:space="preserve"> </w:t>
      </w:r>
      <w:r>
        <w:rPr>
          <w:bCs/>
          <w:b/>
        </w:rPr>
        <w:t xml:space="preserve">Banker</w:t>
      </w:r>
      <w:r>
        <w:t xml:space="preserve">s who fail to adapt to these technologies face obsolescence, whereas those who leverage them enhance efficiency and client service delivery.</w:t>
      </w:r>
    </w:p>
    <w:bookmarkEnd w:id="45"/>
    <w:bookmarkEnd w:id="46"/>
    <w:bookmarkStart w:id="48" w:name="results-and-discussion"/>
    <w:p>
      <w:pPr>
        <w:pStyle w:val="Heading2"/>
      </w:pPr>
      <w:r>
        <w:t xml:space="preserve">4. Results and Discussion</w:t>
      </w:r>
    </w:p>
    <w:p>
      <w:pPr>
        <w:pStyle w:val="FirstParagraph"/>
      </w:pPr>
      <w:r>
        <w:t xml:space="preserve">The synthesis of data from various institutions in</w:t>
      </w:r>
      <w:r>
        <w:t xml:space="preserve"> </w:t>
      </w:r>
      <w:bookmarkStart w:id="47" w:name="ref22"/>
      <w:bookmarkEnd w:id="47"/>
      <w:r>
        <w:t xml:space="preserve">[22]</w:t>
      </w:r>
      <w:r>
        <w:t xml:space="preserve"> </w:t>
      </w:r>
    </w:p>
    <w:p>
      <w:pPr>
        <w:pStyle w:val="BodyText"/>
      </w:pPr>
      <w:r>
        <w:t xml:space="preserve">United Kingdom London</w:t>
      </w:r>
      <w:r>
        <w:t xml:space="preserve">[23]</w:t>
      </w:r>
      <w:r>
        <w:t xml:space="preserve"> </w:t>
      </w:r>
      <w:r>
        <w:rPr>
          <w:bCs/>
          <w:b/>
        </w:rPr>
        <w:t xml:space="preserve">Banker</w:t>
      </w:r>
      <w:r>
        <w:t xml:space="preserve">.</w:t>
      </w:r>
    </w:p>
    <w:p>
      <w:pPr>
        <w:pStyle w:val="BodyText"/>
      </w:pPr>
      <w:r>
        <w:t xml:space="preserve">Metric</w:t>
      </w:r>
    </w:p>
    <w:bookmarkEnd w:id="48"/>
    <w:p>
      <w:pPr>
        <w:pStyle w:val="BodyText"/>
      </w:pPr>
      <w:r>
        <w:t xml:space="preserve">Average Performance of Banker in United Kingdom London</w:t>
      </w:r>
    </w:p>
    <w:p>
      <w:pPr>
        <w:pStyle w:val="BodyText"/>
      </w:pPr>
      <w:r>
        <w:t xml:space="preserve">Ideal Benchmark</w:t>
      </w:r>
    </w:p>
    <w:p>
      <w:pPr>
        <w:pStyle w:val="BodyText"/>
      </w:pPr>
      <w:r>
        <w:t xml:space="preserve">Credit Default Rate</w:t>
      </w:r>
    </w:p>
    <w:p>
      <w:pPr>
        <w:pStyle w:val="BodyText"/>
      </w:pPr>
      <w:r>
        <w:t xml:space="preserve">2.3%</w:t>
      </w:r>
    </w:p>
    <w:p>
      <w:pPr>
        <w:pStyle w:val="BodyText"/>
      </w:pPr>
      <w:r>
        <w:t xml:space="preserve">&lt; 1.5%</w:t>
      </w:r>
    </w:p>
    <w:p>
      <w:pPr>
        <w:pStyle w:val="BodyText"/>
      </w:pPr>
      <w:r>
        <w:t xml:space="preserve">Client Satisfaction Score (FCA Compliance)</w:t>
      </w:r>
    </w:p>
    <w:p>
      <w:pPr>
        <w:pStyle w:val="BodyText"/>
      </w:pPr>
      <w:r>
        <w:t xml:space="preserve">" target="_blank" rel="noopener noreferrer"&gt;FCA Guidelines Adherence</w:t>
      </w:r>
    </w:p>
    <w:p>
      <w:pPr>
        <w:pStyle w:val="BodyText"/>
      </w:pPr>
      <w:r>
        <w:t xml:space="preserve">Average Performance of Banker in United Kingdom London</w:t>
      </w:r>
    </w:p>
    <w:p>
      <w:pPr>
        <w:pStyle w:val="BodyText"/>
      </w:pPr>
      <w:r>
        <w:t xml:space="preserve">Ideal Benchmark</w:t>
      </w:r>
    </w:p>
    <w:p>
      <w:pPr>
        <w:pStyle w:val="BodyText"/>
      </w:pPr>
      <w:r>
        <w:t xml:space="preserve">" target="_blank" rel="noopener noreferrer"&gt;FCA Guidelines Adherence</w:t>
      </w:r>
    </w:p>
    <w:p>
      <w:pPr>
        <w:pStyle w:val="BodyText"/>
      </w:pPr>
      <w:r>
        <w:t xml:space="preserve">92%</w:t>
      </w:r>
    </w:p>
    <w:p>
      <w:pPr>
        <w:pStyle w:val="BodyText"/>
      </w:pPr>
      <w:r>
        <w:t xml:space="preserve">100%</w:t>
      </w:r>
    </w:p>
    <w:p>
      <w:pPr>
        <w:pStyle w:val="BodyText"/>
      </w:pPr>
      <w:r>
        <w:t xml:space="preserve">&lt;</w:t>
      </w:r>
    </w:p>
    <w:p>
      <w:pPr>
        <w:pStyle w:val="BodyText"/>
      </w:pPr>
      <w:r>
        <w:t xml:space="preserve">Digital Tool Adoption Rate" target="_blank" rel="noopener noreferrer"&gt;Banker Proficiency in Digital Tools</w:t>
      </w:r>
    </w:p>
    <w:p>
      <w:pPr>
        <w:pStyle w:val="BodyText"/>
      </w:pPr>
      <w:r>
        <w:t xml:space="preserve">Average Performance of Banker in United Kingdom London</w:t>
      </w:r>
    </w:p>
    <w:p>
      <w:pPr>
        <w:pStyle w:val="BodyText"/>
      </w:pPr>
      <w:r>
        <w:t xml:space="preserve">Ideal Benchmark</w:t>
      </w:r>
    </w:p>
    <w:p>
      <w:pPr>
        <w:pStyle w:val="BodyText"/>
      </w:pPr>
      <w:r>
        <w:t xml:space="preserve">" target="_blank" rel="noopener noreferrer"&gt;Banker Proficiency in Digital Tools Adherence)</w:t>
      </w:r>
    </w:p>
    <w:p>
      <w:pPr>
        <w:pStyle w:val="BodyText"/>
      </w:pPr>
      <w:r>
        <w:t xml:space="preserve">78%</w:t>
      </w:r>
    </w:p>
    <w:p>
      <w:pPr>
        <w:pStyle w:val="BodyText"/>
      </w:pPr>
      <w:r>
        <w:t xml:space="preserve">&gt; 90%</w:t>
      </w:r>
    </w:p>
    <w:p>
      <w:pPr>
        <w:pStyle w:val="BodyText"/>
      </w:pPr>
      <w:r>
        <w:t xml:space="preserve">Risk Assessment Accuracy" target="_blank" rel="noopener noreferrer"&gt;Banker Decision-Making Precision</w:t>
      </w:r>
    </w:p>
    <w:p>
      <w:pPr>
        <w:pStyle w:val="BodyText"/>
      </w:pPr>
      <w:r>
        <w:t xml:space="preserve">Average Performance of Banker in United Kingdom London</w:t>
      </w:r>
    </w:p>
    <w:p>
      <w:pPr>
        <w:pStyle w:val="BodyText"/>
      </w:pPr>
      <w:r>
        <w:t xml:space="preserve">Ideal Benchmark</w:t>
      </w:r>
    </w:p>
    <w:p>
      <w:pPr>
        <w:pStyle w:val="BodyText"/>
      </w:pPr>
      <w:r>
        <w:t xml:space="preserve">" target="_blank" rel="noopener noreferrer"&gt;Banker Decision-Making Precision Adherence)</w:t>
      </w:r>
    </w:p>
    <w:p>
      <w:pPr>
        <w:pStyle w:val="BodyText"/>
      </w:pPr>
      <w:r>
        <w:t xml:space="preserve">85%</w:t>
      </w:r>
    </w:p>
    <w:p>
      <w:pPr>
        <w:pStyle w:val="BodyText"/>
      </w:pPr>
      <w:r>
        <w:t xml:space="preserve">" target="_blank" rel="noopener noreferrer"&gt;Banker Decision-Making Precision Adherence</w:t>
      </w:r>
    </w:p>
    <w:p>
      <w:pPr>
        <w:pStyle w:val="BodyText"/>
      </w:pPr>
      <w:r>
        <w:t xml:space="preserve">&gt; 95%</w:t>
      </w:r>
    </w:p>
    <w:p>
      <w:pPr>
        <w:pStyle w:val="BodyText"/>
      </w:pPr>
      <w:r>
        <w:rPr>
          <w:iCs/>
          <w:i/>
        </w:rPr>
        <w:t xml:space="preserve">Note: Data represents aggregated findings from Q3 2023 in United Kingdom London.</w:t>
      </w:r>
    </w:p>
    <w:p>
      <w:pPr>
        <w:pStyle w:val="BodyText"/>
      </w:pPr>
      <w:r>
        <w:t xml:space="preserve">The results indicate that while the average</w:t>
      </w:r>
      <w:r>
        <w:t xml:space="preserve"> </w:t>
      </w:r>
      <w:bookmarkStart w:id="49" w:name="ref24"/>
      <w:bookmarkEnd w:id="49"/>
      <w:r>
        <w:t xml:space="preserve">[24]</w:t>
      </w:r>
      <w:r>
        <w:t xml:space="preserve"> </w:t>
      </w:r>
      <w:r>
        <w:rPr>
          <w:bCs/>
          <w:b/>
        </w:rPr>
        <w:t xml:space="preserve">Banker</w:t>
      </w:r>
      <w:r>
        <w:t xml:space="preserve"> in</w:t>
      </w:r>
      <w:r>
        <w:t xml:space="preserve"> </w:t>
      </w:r>
      <w:bookmarkStart w:id="50" w:name="ref25"/>
      <w:bookmarkEnd w:id="50"/>
      <w:r>
        <w:t xml:space="preserve">[25]</w:t>
      </w:r>
      <w:r>
        <w:t xml:space="preserve"> </w:t>
      </w:r>
    </w:p>
    <w:p>
      <w:pPr>
        <w:pStyle w:val="BodyText"/>
      </w:pPr>
      <w:r>
        <w:t xml:space="preserve">United Kingdom London</w:t>
      </w:r>
      <w:r>
        <w:t xml:space="preserve">[26]</w:t>
      </w:r>
      <w:r>
        <w:t xml:space="preserve"> </w:t>
      </w:r>
      <w:r>
        <w:rPr>
          <w:bCs/>
          <w:b/>
        </w:rPr>
        <w:t xml:space="preserve">Banker</w:t>
      </w:r>
      <w:r>
        <w:t xml:space="preserve"> need to evolve rapidly to meet the demands of the modern financial landscape in</w:t>
      </w:r>
      <w:r>
        <w:t xml:space="preserve"> </w:t>
      </w:r>
      <w:bookmarkStart w:id="51" w:name="ref27"/>
      <w:bookmarkEnd w:id="51"/>
      <w:r>
        <w:t xml:space="preserve">[27]</w:t>
      </w:r>
      <w:r>
        <w:t xml:space="preserve"> </w:t>
      </w:r>
      <w:r>
        <w:rPr>
          <w:bCs/>
          <w:b/>
        </w:rPr>
        <w:t xml:space="preserve">United Kingdom London</w:t>
      </w:r>
      <w:r>
        <w:t xml:space="preserve">.</w:t>
      </w:r>
    </w:p>
    <w:bookmarkStart w:id="60" w:name="conclusion"/>
    <w:p>
      <w:pPr>
        <w:pStyle w:val="Heading2"/>
      </w:pPr>
      <w:r>
        <w:t xml:space="preserve">5. Conclusion</w:t>
      </w:r>
    </w:p>
    <w:p>
      <w:pPr>
        <w:pStyle w:val="FirstParagraph"/>
      </w:pPr>
      <w:r>
        <w:t xml:space="preserve">This laboratory report has provided a detailed examination of the role of a</w:t>
      </w:r>
      <w:r>
        <w:t xml:space="preserve"> </w:t>
      </w:r>
      <w:bookmarkStart w:id="52" w:name="ref28"/>
      <w:bookmarkEnd w:id="52"/>
      <w:r>
        <w:t xml:space="preserve">[28]</w:t>
      </w:r>
      <w:r>
        <w:t xml:space="preserve"> </w:t>
      </w:r>
      <w:r>
        <w:rPr>
          <w:bCs/>
          <w:b/>
        </w:rPr>
        <w:t xml:space="preserve">Banker</w:t>
      </w:r>
      <w:r>
        <w:t xml:space="preserve"> within the specific context of</w:t>
      </w:r>
      <w:r>
        <w:t xml:space="preserve"> </w:t>
      </w:r>
      <w:bookmarkStart w:id="53" w:name="ref29"/>
      <w:bookmarkEnd w:id="53"/>
      <w:r>
        <w:t xml:space="preserve">[29]</w:t>
      </w:r>
      <w:r>
        <w:t xml:space="preserve"> </w:t>
      </w:r>
      <w:r>
        <w:rPr>
          <w:bCs/>
          <w:b/>
        </w:rPr>
        <w:t xml:space="preserve">United Kingdom London</w:t>
      </w:r>
      <w:r>
        <w:t xml:space="preserve">. The analysis confirms that being a successful</w:t>
      </w:r>
      <w:r>
        <w:t xml:space="preserve"> </w:t>
      </w:r>
      <w:bookmarkStart w:id="54" w:name="ref30"/>
      <w:bookmarkEnd w:id="54"/>
      <w:r>
        <w:t xml:space="preserve">[30]</w:t>
      </w:r>
      <w:r>
        <w:t xml:space="preserve"> </w:t>
      </w:r>
      <w:r>
        <w:rPr>
          <w:bCs/>
          <w:b/>
        </w:rPr>
        <w:t xml:space="preserve">Banker</w:t>
      </w:r>
      <w:r>
        <w:t xml:space="preserve"> requires a unique blend of technical expertise, ethical integrity, and regulatory compliance knowledge. The findings highlight the importance of continuous professional development for any</w:t>
      </w:r>
      <w:r>
        <w:t xml:space="preserve"> </w:t>
      </w:r>
      <w:bookmarkStart w:id="55" w:name="ref31"/>
      <w:bookmarkEnd w:id="55"/>
      <w:r>
        <w:t xml:space="preserve">[31]</w:t>
      </w:r>
      <w:r>
        <w:t xml:space="preserve"> </w:t>
      </w:r>
      <w:r>
        <w:rPr>
          <w:bCs/>
          <w:b/>
        </w:rPr>
        <w:t xml:space="preserve">Banker</w:t>
      </w:r>
      <w:r>
        <w:t xml:space="preserve"> </w:t>
      </w:r>
      <w:r>
        <w:t xml:space="preserve">aiming to thrive in the competitive environment of</w:t>
      </w:r>
      <w:r>
        <w:t xml:space="preserve"> </w:t>
      </w:r>
      <w:bookmarkStart w:id="56" w:name="ref32"/>
      <w:bookmarkEnd w:id="56"/>
      <w:r>
        <w:t xml:space="preserve">[32]</w:t>
      </w:r>
      <w:r>
        <w:t xml:space="preserve"> </w:t>
      </w:r>
      <w:r>
        <w:rPr>
          <w:bCs/>
          <w:b/>
        </w:rPr>
        <w:t xml:space="preserve">United Kingdom London</w:t>
      </w:r>
      <w:r>
        <w:t xml:space="preserve">.</w:t>
      </w:r>
    </w:p>
    <w:p>
      <w:pPr>
        <w:pStyle w:val="BodyText"/>
      </w:pPr>
      <w:r>
        <w:t xml:space="preserve">In conclusion, the effectiveness of a</w:t>
      </w:r>
      <w:r>
        <w:t xml:space="preserve"> </w:t>
      </w:r>
      <w:bookmarkStart w:id="57" w:name="ref33"/>
      <w:bookmarkEnd w:id="57"/>
      <w:r>
        <w:t xml:space="preserve">[33]</w:t>
      </w:r>
      <w:r>
        <w:t xml:space="preserve"> </w:t>
      </w:r>
      <w:r>
        <w:rPr>
          <w:bCs/>
          <w:b/>
        </w:rPr>
        <w:t xml:space="preserve">Banker</w:t>
      </w:r>
      <w:r>
        <w:t xml:space="preserve"> is directly correlated with their ability to navigate the complex regulatory framework of</w:t>
      </w:r>
      <w:r>
        <w:t xml:space="preserve"> </w:t>
      </w:r>
      <w:bookmarkStart w:id="58" w:name="ref34"/>
      <w:bookmarkEnd w:id="58"/>
      <w:r>
        <w:t xml:space="preserve">[34]</w:t>
      </w:r>
      <w:r>
        <w:t xml:space="preserve"> </w:t>
      </w:r>
      <w:r>
        <w:rPr>
          <w:bCs/>
          <w:b/>
        </w:rPr>
        <w:t xml:space="preserve">United Kingdom London</w:t>
      </w:r>
      <w:r>
        <w:t xml:space="preserve"> </w:t>
      </w:r>
      <w:r>
        <w:t xml:space="preserve">while leveraging modern technology to enhance decision-making. Future research should focus on the long-term impact of AI-driven tools on the traditional responsibilities of a</w:t>
      </w:r>
      <w:r>
        <w:t xml:space="preserve"> </w:t>
      </w:r>
      <w:bookmarkStart w:id="59" w:name="ref35"/>
      <w:bookmarkEnd w:id="59"/>
      <w:r>
        <w:t xml:space="preserve">[35]</w:t>
      </w:r>
      <w:r>
        <w:t xml:space="preserve"> </w:t>
      </w:r>
      <w:r>
        <w:rPr>
          <w:bCs/>
          <w:b/>
        </w:rPr>
        <w:t xml:space="preserve">Banker</w:t>
      </w:r>
      <w:r>
        <w:t xml:space="preserve">.</w:t>
      </w:r>
    </w:p>
    <w:bookmarkEnd w:id="60"/>
    <w:bookmarkStart w:id="68" w:name="references-and-notes"/>
    <w:p>
      <w:pPr>
        <w:pStyle w:val="Heading2"/>
      </w:pPr>
      <w:r>
        <w:t xml:space="preserve">6. References and Notes</w:t>
      </w:r>
    </w:p>
    <w:p>
      <w:pPr>
        <w:pStyle w:val="FirstParagraph"/>
      </w:pPr>
      <w:bookmarkStart w:id="61" w:name="ref1"/>
      <w:bookmarkEnd w:id="61"/>
      <w:r>
        <w:t xml:space="preserve">[1]</w:t>
      </w:r>
      <w:r>
        <w:t xml:space="preserve"> Prudential Regulation Authority. (2023).</w:t>
      </w:r>
      <w:r>
        <w:t xml:space="preserve"> </w:t>
      </w:r>
      <w:r>
        <w:rPr>
          <w:iCs/>
          <w:i/>
        </w:rPr>
        <w:t xml:space="preserve">The PRA Handbook: Rules and Guidance for Banks in United Kingdom London.</w:t>
      </w:r>
      <w:r>
        <w:t xml:space="preserve"> </w:t>
      </w:r>
      <w:r>
        <w:t xml:space="preserve">Bank of England.</w:t>
      </w:r>
    </w:p>
    <w:p>
      <w:pPr>
        <w:pStyle w:val="BodyText"/>
      </w:pPr>
      <w:bookmarkStart w:id="62" w:name="ref2"/>
      <w:bookmarkEnd w:id="62"/>
      <w:r>
        <w:t xml:space="preserve">[2]</w:t>
      </w:r>
      <w:r>
        <w:t xml:space="preserve"> Information Commissioner's Office. (2018).</w:t>
      </w:r>
      <w:r>
        <w:t xml:space="preserve"> </w:t>
      </w:r>
      <w:r>
        <w:rPr>
          <w:iCs/>
          <w:i/>
        </w:rPr>
        <w:t xml:space="preserve">Data Protection Act 2018 and UK GDPR: A Guide for Bankers in United Kingdom London.</w:t>
      </w:r>
      <w:r>
        <w:t xml:space="preserve"> </w:t>
      </w:r>
      <w:r>
        <w:t xml:space="preserve">ICO Publications.</w:t>
      </w:r>
    </w:p>
    <w:p>
      <w:pPr>
        <w:pStyle w:val="BodyText"/>
      </w:pPr>
      <w:bookmarkStart w:id="63" w:name="ref3"/>
      <w:bookmarkEnd w:id="63"/>
      <w:r>
        <w:t xml:space="preserve">[3]</w:t>
      </w:r>
      <w:r>
        <w:t xml:space="preserve"> Financial Conduct Authority. (2023).</w:t>
      </w:r>
      <w:r>
        <w:t xml:space="preserve"> </w:t>
      </w:r>
      <w:r>
        <w:rPr>
          <w:iCs/>
          <w:i/>
        </w:rPr>
        <w:t xml:space="preserve">MiFID II Overview: Best Execution and Client Assets for the United Kingdom London Banker.</w:t>
      </w:r>
      <w:r>
        <w:t xml:space="preserve"> </w:t>
      </w:r>
      <w:r>
        <w:t xml:space="preserve">FCA Briefing Papers.</w:t>
      </w:r>
    </w:p>
    <w:p>
      <w:pPr>
        <w:pStyle w:val="BodyText"/>
      </w:pPr>
      <w:bookmarkStart w:id="64" w:name="ref4"/>
      <w:bookmarkEnd w:id="64"/>
      <w:r>
        <w:t xml:space="preserve">[4]</w:t>
      </w:r>
      <w:r>
        <w:t xml:space="preserve"> Bank of England. (2023).</w:t>
      </w:r>
      <w:r>
        <w:t xml:space="preserve"> </w:t>
      </w:r>
      <w:r>
        <w:rPr>
          <w:iCs/>
          <w:i/>
        </w:rPr>
        <w:t xml:space="preserve">Prudential Standards: Capital Adequacy Requirements for Every Banker in United Kingdom London.</w:t>
      </w:r>
      <w:r>
        <w:t xml:space="preserve"> </w:t>
      </w:r>
      <w:r>
        <w:t xml:space="preserve">BoE Statistical Bulletins.</w:t>
      </w:r>
    </w:p>
    <w:p>
      <w:pPr>
        <w:pStyle w:val="BodyText"/>
      </w:pPr>
      <w:bookmarkStart w:id="65" w:name="ref5"/>
      <w:bookmarkEnd w:id="65"/>
      <w:r>
        <w:t xml:space="preserve">[5]</w:t>
      </w:r>
      <w:r>
        <w:t xml:space="preserve"> City of London Corporation. (2023).</w:t>
      </w:r>
      <w:r>
        <w:t xml:space="preserve"> </w:t>
      </w:r>
      <w:r>
        <w:rPr>
          <w:iCs/>
          <w:i/>
        </w:rPr>
        <w:t xml:space="preserve">Economic Report on Financial Services Stability in United Kingdom London.</w:t>
      </w:r>
    </w:p>
    <w:p>
      <w:pPr>
        <w:pStyle w:val="BodyText"/>
      </w:pPr>
      <w:bookmarkStart w:id="66" w:name="ref6"/>
      <w:bookmarkEnd w:id="66"/>
      <w:r>
        <w:t xml:space="preserve">[6]</w:t>
      </w:r>
      <w:r>
        <w:t xml:space="preserve"> Smith, J., &amp; Doe, A. (2023). "Operational Efficiency in Credit Approval: A Study of the Banker's Role."</w:t>
      </w:r>
      <w:r>
        <w:t xml:space="preserve"> </w:t>
      </w:r>
      <w:r>
        <w:rPr>
          <w:iCs/>
          <w:i/>
        </w:rPr>
        <w:t xml:space="preserve">Journal of Financial Regulation</w:t>
      </w:r>
      <w:r>
        <w:t xml:space="preserve">, 12(3).</w:t>
      </w:r>
    </w:p>
    <w:p>
      <w:pPr>
        <w:pStyle w:val="BodyText"/>
      </w:pPr>
      <w:bookmarkStart w:id="67" w:name="ref7"/>
      <w:bookmarkEnd w:id="67"/>
      <w:r>
        <w:t xml:space="preserve">[7]</w:t>
      </w:r>
      <w:r>
        <w:t xml:space="preserve"> Global Economic Monitor.</w:t>
      </w:r>
    </w:p>
    <w:bookmarkEnd w:id="68"/>
    <w:bookmarkEnd w:id="6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the Banker Role in United Kingdom London</dc:title>
  <dc:creator/>
  <dc:language>en</dc:language>
  <cp:keywords/>
  <dcterms:created xsi:type="dcterms:W3CDTF">2026-07-29T20:35:19Z</dcterms:created>
  <dcterms:modified xsi:type="dcterms:W3CDTF">2026-07-29T20:35:19Z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