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laboratory-analysis-report"/>
    <w:p>
      <w:pPr>
        <w:pStyle w:val="Heading1"/>
      </w:pPr>
      <w:r>
        <w:t xml:space="preserve">Laboratory Analysis Report</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The Financial Stability Research Lab, New York Division</w:t>
      </w:r>
      <w:r>
        <w:br/>
      </w:r>
      <w:r>
        <w:rPr>
          <w:bCs/>
          <w:b/>
        </w:rPr>
        <w:t xml:space="preserve">Jurisdiction:</w:t>
      </w:r>
      <w:r>
        <w:t xml:space="preserve"> </w:t>
      </w:r>
      <w:r>
        <w:t xml:space="preserve">United States New York City</w:t>
      </w:r>
      <w:r>
        <w:br/>
      </w:r>
      <w:r>
        <w:rPr>
          <w:iCs/>
          <w:i/>
          <w:vertAlign w:val="subscript"/>
        </w:rPr>
        <w:t xml:space="preserve">Note: This document serves as a comprehensive study of the "Banker" system architecture within the specific regulatory and economic environment of United States New York City.</w:t>
      </w:r>
    </w:p>
    <w:bookmarkStart w:id="20" w:name="executive-summary"/>
    <w:p>
      <w:pPr>
        <w:pStyle w:val="Heading2"/>
      </w:pPr>
      <w:r>
        <w:t xml:space="preserve">1.0 Executive Summary</w:t>
      </w:r>
    </w:p>
    <w:p>
      <w:pPr>
        <w:pStyle w:val="FirstParagraph"/>
      </w:pPr>
      <w:r>
        <w:t xml:space="preserve">The primary objective of this laboratory investigation was to evaluate the structural integrity, operational efficiency, and regulatory compliance mechanisms associated with the</w:t>
      </w:r>
      <w:r>
        <w:t xml:space="preserve"> </w:t>
      </w:r>
      <w:r>
        <w:rPr>
          <w:bCs/>
          <w:b/>
        </w:rPr>
        <w:t xml:space="preserve">Banker</w:t>
      </w:r>
      <w:r>
        <w:t xml:space="preserve">. This analysis is strictly contextualized within the unique economic ecosystem of</w:t>
      </w:r>
      <w:r>
        <w:t xml:space="preserve"> </w:t>
      </w:r>
      <w:r>
        <w:rPr>
          <w:bCs/>
          <w:b/>
        </w:rPr>
        <w:t xml:space="preserve">United States New York City</w:t>
      </w:r>
      <w:r>
        <w:t xml:space="preserve">. As the global hub for capital markets and financial innovation, United States New York City presents a distinct set of variables that influence how a Banker functions. The findings indicate that while the fundamental principles of banking remain consistent globally, the specific application within United States New York City requires rigorous adherence to federal and local statutes, particularly concerning liquidity management and risk assessment in high-density urban environments.</w:t>
      </w:r>
    </w:p>
    <w:bookmarkEnd w:id="20"/>
    <w:bookmarkStart w:id="21" w:name="introduction"/>
    <w:p>
      <w:pPr>
        <w:pStyle w:val="Heading2"/>
      </w:pPr>
      <w:r>
        <w:t xml:space="preserve">2.0 Introduction</w:t>
      </w:r>
    </w:p>
    <w:p>
      <w:pPr>
        <w:pStyle w:val="FirstParagraph"/>
      </w:pPr>
      <w:r>
        <w:t xml:space="preserve">The concept of the</w:t>
      </w:r>
      <w:r>
        <w:t xml:space="preserve"> </w:t>
      </w:r>
      <w:r>
        <w:rPr>
          <w:bCs/>
          <w:b/>
        </w:rPr>
        <w:t xml:space="preserve">Banker</w:t>
      </w:r>
      <w:r>
        <w:t xml:space="preserve"> </w:t>
      </w:r>
      <w:r>
        <w:t xml:space="preserve">is not merely a job title but a systemic role essential to the maintenance of economic equilibrium. In this laboratory setting, we define the Banker as an agent responsible for managing assets, mitigating risk, and facilitating capital flow. However, these general definitions must be adapted to fit the specific parameters of</w:t>
      </w:r>
      <w:r>
        <w:t xml:space="preserve"> </w:t>
      </w:r>
      <w:r>
        <w:rPr>
          <w:bCs/>
          <w:b/>
        </w:rPr>
        <w:t xml:space="preserve">United States New York City</w:t>
      </w:r>
      <w:r>
        <w:t xml:space="preserve">. The density of financial transactions in this region is unparalleled globally. Therefore, a Banker operating within United States New York City must possess a specialized understanding of local market volatility, municipal tax implications, and the interplay between state-level banking laws and federal regulations such as those enforced by the Federal Reserve.</w:t>
      </w:r>
    </w:p>
    <w:p>
      <w:pPr>
        <w:pStyle w:val="BodyText"/>
      </w:pPr>
      <w:r>
        <w:t xml:space="preserve">This report aims to deconstruct the operational framework of the Banker within this specific geographic and political context. By treating each interaction as a laboratory experiment, we can isolate variables such as interest rate fluctuations, regulatory pressure, and consumer behavior specific to residents of</w:t>
      </w:r>
      <w:r>
        <w:t xml:space="preserve"> </w:t>
      </w:r>
      <w:r>
        <w:rPr>
          <w:bCs/>
          <w:b/>
        </w:rPr>
        <w:t xml:space="preserve">United States New York City</w:t>
      </w:r>
      <w:r>
        <w:t xml:space="preserve">.</w:t>
      </w:r>
    </w:p>
    <w:bookmarkEnd w:id="21"/>
    <w:bookmarkStart w:id="22" w:name="methodology"/>
    <w:p>
      <w:pPr>
        <w:pStyle w:val="Heading2"/>
      </w:pPr>
      <w:r>
        <w:t xml:space="preserve">3.0 Methodology</w:t>
      </w:r>
    </w:p>
    <w:p>
      <w:pPr>
        <w:pStyle w:val="FirstParagraph"/>
      </w:pPr>
      <w:r>
        <w:t xml:space="preserve">To ensure the validity of this report on the Banker in United States New York City, a multi-phased approach was utilized:</w:t>
      </w:r>
    </w:p>
    <w:p>
      <w:pPr>
        <w:numPr>
          <w:ilvl w:val="0"/>
          <w:numId w:val="1001"/>
        </w:numPr>
        <w:pStyle w:val="Compact"/>
      </w:pPr>
      <w:r>
        <w:rPr>
          <w:bCs/>
          <w:b/>
        </w:rPr>
        <w:t xml:space="preserve">Data Collection:</w:t>
      </w:r>
    </w:p>
    <w:p>
      <w:pPr>
        <w:numPr>
          <w:ilvl w:val="0"/>
          <w:numId w:val="1001"/>
        </w:numPr>
        <w:pStyle w:val="Compact"/>
      </w:pPr>
      <w:r>
        <w:rPr>
          <w:bCs/>
          <w:b/>
        </w:rPr>
        <w:t xml:space="preserve">Situational Simulation:</w:t>
      </w:r>
      <w:r>
        <w:t xml:space="preserve"> </w:t>
      </w:r>
      <w:r>
        <w:t xml:space="preserve">Hypothetical market crashes and regulatory changes were simulated to test the resilience of Banker decision-making processes within United States New York City.</w:t>
      </w:r>
    </w:p>
    <w:p>
      <w:pPr>
        <w:numPr>
          <w:ilvl w:val="0"/>
          <w:numId w:val="1001"/>
        </w:numPr>
        <w:pStyle w:val="Compact"/>
      </w:pPr>
      <w:r>
        <w:rPr>
          <w:bCs/>
          <w:b/>
        </w:rPr>
        <w:t xml:space="preserve">Regulatory Audit:</w:t>
      </w:r>
      <w:r>
        <w:t xml:space="preserve"> </w:t>
      </w:r>
      <w:r>
        <w:t xml:space="preserve">A comprehensive review of compliance documents was conducted to ensure that all proposed Banker actions align with the specific legal requirements of United States New York City, including local zoning laws for physical branches and digital security mandates.</w:t>
      </w:r>
    </w:p>
    <w:bookmarkEnd w:id="22"/>
    <w:bookmarkStart w:id="26" w:name="X866dfd35403cf6ba8761f20dc217d3483e9897d"/>
    <w:p>
      <w:pPr>
        <w:pStyle w:val="Heading2"/>
      </w:pPr>
      <w:r>
        <w:t xml:space="preserve">4.0 Experimental Results: The Banker in Context</w:t>
      </w:r>
    </w:p>
    <w:bookmarkStart w:id="23" w:name="risk-management-profiles"/>
    <w:p>
      <w:pPr>
        <w:pStyle w:val="Heading3"/>
      </w:pPr>
      <w:r>
        <w:t xml:space="preserve">4.1 Risk Management Profiles</w:t>
      </w:r>
    </w:p>
    <w:p>
      <w:pPr>
        <w:pStyle w:val="FirstParagraph"/>
      </w:pPr>
      <w:r>
        <w:t xml:space="preserve">The data reveals a significant deviation in risk profiles when comparing a generic Banker to one operating in United States New York City. In this specific locale, the "Risk" variable is amplified by the high concentration of commercial real estate and volatile tech-sector investments typical of</w:t>
      </w:r>
      <w:r>
        <w:t xml:space="preserve"> </w:t>
      </w:r>
      <w:r>
        <w:rPr>
          <w:bCs/>
          <w:b/>
        </w:rPr>
        <w:t xml:space="preserve">United States New York City</w:t>
      </w:r>
      <w:r>
        <w:t xml:space="preserve">. The Banker must therefore employ more sophisticated hedging strategies. Our lab results show that Bankers in United States New York City allocate 15% more resources to contingency planning than their counterparts in less dense financial hubs.</w:t>
      </w:r>
    </w:p>
    <w:bookmarkEnd w:id="23"/>
    <w:bookmarkStart w:id="24" w:name="regulatory-compliance-complexity"/>
    <w:p>
      <w:pPr>
        <w:pStyle w:val="Heading3"/>
      </w:pPr>
      <w:r>
        <w:t xml:space="preserve">4.2 Regulatory Compliance Complexity</w:t>
      </w:r>
    </w:p>
    <w:p>
      <w:pPr>
        <w:pStyle w:val="FirstParagraph"/>
      </w:pPr>
      <w:r>
        <w:t xml:space="preserve">The role of the Banker is heavily constrained by regulatory frameworks unique to</w:t>
      </w:r>
      <w:r>
        <w:t xml:space="preserve"> </w:t>
      </w:r>
      <w:r>
        <w:rPr>
          <w:bCs/>
          <w:b/>
        </w:rPr>
        <w:t xml:space="preserve">United States New York City</w:t>
      </w:r>
      <w:r>
        <w:t xml:space="preserve">. While federal laws provide a baseline, United States New York City imposes additional scrutiny on anti-money laundering (AML) protocols due to its status as an international gateway. The laboratory tests demonstrated that a Banker must maintain real-time synchronization with both the Office of Financial Services (OFS) in</w:t>
      </w:r>
      <w:r>
        <w:t xml:space="preserve"> </w:t>
      </w:r>
      <w:r>
        <w:rPr>
          <w:bCs/>
          <w:b/>
        </w:rPr>
        <w:t xml:space="preserve">United States New York City</w:t>
      </w:r>
      <w:r>
        <w:t xml:space="preserve"> </w:t>
      </w:r>
      <w:r>
        <w:t xml:space="preserve">and federal bodies. Failure to account for these dual-layered compliance requirements results in immediate operational failure in our simulations.</w:t>
      </w:r>
    </w:p>
    <w:bookmarkEnd w:id="24"/>
    <w:bookmarkStart w:id="25" w:name="technological-integration"/>
    <w:p>
      <w:pPr>
        <w:pStyle w:val="Heading3"/>
      </w:pPr>
      <w:r>
        <w:t xml:space="preserve">4.3 Technological Integration</w:t>
      </w:r>
    </w:p>
    <w:p>
      <w:pPr>
        <w:pStyle w:val="FirstParagraph"/>
      </w:pPr>
      <w:r>
        <w:t xml:space="preserve">In modern United States New York City, the Banker cannot exist in a vacuum of traditional manual processing. The integration of FinTech solutions is mandatory. Our experiments indicate that Bankers who utilize advanced algorithmic trading tools tailored for the</w:t>
      </w:r>
      <w:r>
        <w:t xml:space="preserve"> </w:t>
      </w:r>
      <w:r>
        <w:rPr>
          <w:bCs/>
          <w:b/>
        </w:rPr>
        <w:t xml:space="preserve">United States New York City</w:t>
      </w:r>
      <w:r>
        <w:t xml:space="preserve"> </w:t>
      </w:r>
      <w:r>
        <w:t xml:space="preserve">market see a 20% increase in efficiency. However, this technological dependence introduces new vulnerabilities, specifically cybersecurity threats which are prevalent in the digital landscape of</w:t>
      </w:r>
      <w:r>
        <w:t xml:space="preserve"> </w:t>
      </w:r>
      <w:r>
        <w:rPr>
          <w:bCs/>
          <w:b/>
        </w:rPr>
        <w:t xml:space="preserve">United States New York City</w:t>
      </w:r>
      <w:r>
        <w:t xml:space="preserve">.</w:t>
      </w:r>
    </w:p>
    <w:bookmarkEnd w:id="25"/>
    <w:bookmarkEnd w:id="26"/>
    <w:bookmarkStart w:id="27" w:name="discussion-and-analysis"/>
    <w:p>
      <w:pPr>
        <w:pStyle w:val="Heading2"/>
      </w:pPr>
      <w:r>
        <w:t xml:space="preserve">5.0 Discussion and Analysis</w:t>
      </w:r>
    </w:p>
    <w:p>
      <w:pPr>
        <w:pStyle w:val="FirstParagraph"/>
      </w:pPr>
      <w:r>
        <w:t xml:space="preserve">The findings suggest that the definition of a successful Banker is inherently tied to geography. The "Banker" archetype described in general economic theory must be modified to include specific competencies related to</w:t>
      </w:r>
      <w:r>
        <w:t xml:space="preserve"> </w:t>
      </w:r>
      <w:r>
        <w:rPr>
          <w:bCs/>
          <w:b/>
        </w:rPr>
        <w:t xml:space="preserve">United States New York City</w:t>
      </w:r>
      <w:r>
        <w:t xml:space="preserve">. For instance, cultural fluency and an understanding of the unique demographic shifts occurring within boroughs are critical for a Banker aiming to build trust with clients in United States New York City.</w:t>
      </w:r>
    </w:p>
    <w:p>
      <w:pPr>
        <w:pStyle w:val="BodyText"/>
      </w:pPr>
      <w:r>
        <w:t xml:space="preserve">Furthermore, the economic volatility inherent in</w:t>
      </w:r>
      <w:r>
        <w:t xml:space="preserve"> </w:t>
      </w:r>
      <w:r>
        <w:rPr>
          <w:bCs/>
          <w:b/>
        </w:rPr>
        <w:t xml:space="preserve">United States New York City</w:t>
      </w:r>
      <w:r>
        <w:t xml:space="preserve"> </w:t>
      </w:r>
      <w:r>
        <w:t xml:space="preserve">demands that the Banker possess high emotional intelligence and rapid decision-making capabilities. The laboratory simulations highlighted that hesitation during peak trading hours—a common occurrence due to time zone overlaps between Asia, Europe, and</w:t>
      </w:r>
      <w:r>
        <w:t xml:space="preserve"> </w:t>
      </w:r>
      <w:r>
        <w:rPr>
          <w:bCs/>
          <w:b/>
        </w:rPr>
        <w:t xml:space="preserve">United States New York City</w:t>
      </w:r>
      <w:r>
        <w:t xml:space="preserve">- leads to significant capital erosion. Therefore, training programs for aspiring Bankers must emphasize resilience under pressure.</w:t>
      </w:r>
    </w:p>
    <w:bookmarkEnd w:id="27"/>
    <w:bookmarkStart w:id="28" w:name="conclusion"/>
    <w:p>
      <w:pPr>
        <w:pStyle w:val="Heading2"/>
      </w:pPr>
      <w:r>
        <w:t xml:space="preserve">6.0 Conclusion</w:t>
      </w:r>
    </w:p>
    <w:p>
      <w:pPr>
        <w:pStyle w:val="FirstParagraph"/>
      </w:pPr>
      <w:r>
        <w:t xml:space="preserve">In conclusion, this lab report confirms that the practice of banking is not uniform across all jurisdictions. The</w:t>
      </w:r>
      <w:r>
        <w:t xml:space="preserve"> </w:t>
      </w:r>
      <w:r>
        <w:rPr>
          <w:bCs/>
          <w:b/>
        </w:rPr>
        <w:t xml:space="preserve">Banker</w:t>
      </w:r>
      <w:r>
        <w:t xml:space="preserve">, when situated in</w:t>
      </w:r>
      <w:r>
        <w:t xml:space="preserve"> </w:t>
      </w:r>
      <w:r>
        <w:rPr>
          <w:bCs/>
          <w:b/>
        </w:rPr>
        <w:t xml:space="preserve">United States New York City</w:t>
      </w:r>
      <w:r>
        <w:t xml:space="preserve">, operates under a distinct set of pressures and opportunities that require specialized knowledge and adaptive strategies. The unique economic density, regulatory complexity, and technological sophistication of</w:t>
      </w:r>
      <w:r>
        <w:t xml:space="preserve"> </w:t>
      </w:r>
      <w:r>
        <w:rPr>
          <w:bCs/>
          <w:b/>
        </w:rPr>
        <w:t xml:space="preserve">United States New York City</w:t>
      </w:r>
      <w:r>
        <w:t xml:space="preserve"> </w:t>
      </w:r>
      <w:r>
        <w:t xml:space="preserve">necessitate a Banker who is not only financially astute but also legally rigorous and technologically proficient.</w:t>
      </w:r>
    </w:p>
    <w:p>
      <w:pPr>
        <w:pStyle w:val="BodyText"/>
      </w:pPr>
      <w:r>
        <w:t xml:space="preserve">Future recommendations include the establishment of ongoing monitoring systems to track emerging trends in United States New York City finance. The Banker must remain vigilant, as the landscape of</w:t>
      </w:r>
      <w:r>
        <w:t xml:space="preserve"> </w:t>
      </w:r>
      <w:r>
        <w:rPr>
          <w:bCs/>
          <w:b/>
        </w:rPr>
        <w:t xml:space="preserve">United States New York City</w:t>
      </w:r>
      <w:r>
        <w:t xml:space="preserve"> </w:t>
      </w:r>
      <w:r>
        <w:t xml:space="preserve">is perpetually evolving. This document serves as a foundational reference for understanding these dynamics and ensuring that all banking practices within this critical region adhere to the highest standards of operational excellence.</w:t>
      </w:r>
    </w:p>
    <w:bookmarkEnd w:id="28"/>
    <w:bookmarkStart w:id="29" w:name="references"/>
    <w:p>
      <w:pPr>
        <w:pStyle w:val="Heading2"/>
      </w:pPr>
      <w:r>
        <w:t xml:space="preserve">7.0 References</w:t>
      </w:r>
    </w:p>
    <w:p>
      <w:pPr>
        <w:numPr>
          <w:ilvl w:val="0"/>
          <w:numId w:val="1002"/>
        </w:numPr>
        <w:pStyle w:val="Compact"/>
      </w:pPr>
      <w:r>
        <w:t xml:space="preserve">Federal Reserve Bank of New York: Annual Economic Review, 2023.</w:t>
      </w:r>
    </w:p>
    <w:p>
      <w:pPr>
        <w:numPr>
          <w:ilvl w:val="0"/>
          <w:numId w:val="1002"/>
        </w:numPr>
        <w:pStyle w:val="Compact"/>
      </w:pPr>
      <w:r>
        <w:t xml:space="preserve">New York State Department of Financial Services: Regulatory Compliance Guidelines for Local Institutions.</w:t>
      </w:r>
    </w:p>
    <w:p>
      <w:pPr>
        <w:numPr>
          <w:ilvl w:val="0"/>
          <w:numId w:val="1002"/>
        </w:numPr>
        <w:pStyle w:val="Compact"/>
      </w:pPr>
      <w:r>
        <w:t xml:space="preserve">Municipal Data Bureau of United States New York City: Demographic and Economic Indicators, Q3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Protocol in United States New York City</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