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Analysis</w:t>
      </w:r>
      <w:r>
        <w:t xml:space="preserve"> </w:t>
      </w:r>
      <w:r>
        <w:t xml:space="preserve">in</w:t>
      </w:r>
      <w:r>
        <w:t xml:space="preserve"> </w:t>
      </w:r>
      <w:r>
        <w:t xml:space="preserve">Italy</w:t>
      </w:r>
      <w:r>
        <w:t xml:space="preserve"> </w:t>
      </w:r>
      <w:r>
        <w:t xml:space="preserve">Milan</w:t>
      </w:r>
    </w:p>
    <w:bookmarkStart w:id="32" w:name="laboratory-report"/>
    <w:p>
      <w:pPr>
        <w:pStyle w:val="Heading1"/>
      </w:pPr>
      <w:r>
        <w:t xml:space="preserve">Laboratory Report</w:t>
      </w:r>
    </w:p>
    <w:p>
      <w:pPr>
        <w:pStyle w:val="FirstParagraph"/>
      </w:pPr>
      <w:r>
        <w:rPr>
          <w:bCs/>
          <w:b/>
        </w:rPr>
        <w:t xml:space="preserve">Date:</w:t>
      </w:r>
    </w:p>
    <w:p>
      <w:pPr>
        <w:pStyle w:val="BodyText"/>
      </w:pPr>
      <w:r>
        <w:t xml:space="preserve">October 24, 2023</w:t>
      </w:r>
      <w:r>
        <w:br/>
      </w:r>
    </w:p>
    <w:p>
      <w:pPr>
        <w:pStyle w:val="BodyText"/>
      </w:pPr>
      <w:r>
        <w:rPr>
          <w:bCs/>
          <w:b/>
        </w:rPr>
        <w:t xml:space="preserve">To:</w:t>
      </w:r>
    </w:p>
    <w:p>
      <w:pPr>
        <w:pStyle w:val="BodyText"/>
      </w:pPr>
      <w:r>
        <w:t xml:space="preserve">Regional Health Authority of Lombardy</w:t>
      </w:r>
      <w:r>
        <w:br/>
      </w:r>
    </w:p>
    <w:p>
      <w:pPr>
        <w:pStyle w:val="BodyText"/>
      </w:pPr>
      <w:r>
        <w:rPr>
          <w:bCs/>
          <w:b/>
        </w:rPr>
        <w:t xml:space="preserve">From:</w:t>
      </w:r>
    </w:p>
    <w:p>
      <w:pPr>
        <w:pStyle w:val="BodyText"/>
      </w:pPr>
      <w:r>
        <w:t xml:space="preserve">Center for Environmental and Human Biology</w:t>
      </w:r>
      <w:r>
        <w:br/>
      </w:r>
    </w:p>
    <w:p>
      <w:pPr>
        <w:pStyle w:val="BodyText"/>
      </w:pPr>
      <w:r>
        <w:rPr>
          <w:bCs/>
          <w:b/>
        </w:rPr>
        <w:t xml:space="preserve">Institution Location:</w:t>
      </w:r>
    </w:p>
    <w:p>
      <w:pPr>
        <w:pStyle w:val="BodyText"/>
      </w:pPr>
      <w:r>
        <w:t xml:space="preserve">Milan, Italy Milan Sector 4</w:t>
      </w:r>
      <w:r>
        <w:br/>
      </w:r>
    </w:p>
    <w:p>
      <w:pPr>
        <w:pStyle w:val="BodyText"/>
      </w:pPr>
      <w:r>
        <w:rPr>
          <w:bCs/>
          <w:b/>
        </w:rPr>
        <w:t xml:space="preserve">Biosecurity Level:</w:t>
      </w:r>
    </w:p>
    <w:p>
      <w:pPr>
        <w:pStyle w:val="BodyText"/>
      </w:pPr>
      <w:r>
        <w:t xml:space="preserve">BSL-2 Standard Compliance</w:t>
      </w:r>
    </w:p>
    <w:bookmarkStart w:id="20" w:name="executive-summary"/>
    <w:p>
      <w:pPr>
        <w:pStyle w:val="Heading2"/>
      </w:pPr>
      <w:r>
        <w:t xml:space="preserve">1. Executive Summary</w:t>
      </w:r>
    </w:p>
    <w:p>
      <w:pPr>
        <w:pStyle w:val="FirstParagraph"/>
      </w:pPr>
      <w:r>
        <w:t xml:space="preserve">This comprehensive Laboratory Report details the findings of a multi-phase biological analysis conducted within the metropolitan region of Italy Milan. The primary objective was to assess the prevalence of specific microbial markers in urban soil and water systems, correlating them with industrial output and residential density. As Italy Milan continues to expand as a global hub for fashion, finance, and design, its ecological footprint requires rigorous scientific monitoring. This document outlines the methodology employed by our team of Biologists, presents the data collected from three distinct sampling zones within the city limits of Italy Milan, and provides an analytical conclusion regarding public health safety and environmental integrity. The results indicate a stable biological equilibrium in suburban areas but highlight concerning anomalies in central industrial districts that require immediate remediation strategies.</w:t>
      </w:r>
    </w:p>
    <w:bookmarkEnd w:id="20"/>
    <w:bookmarkStart w:id="23" w:name="introduction"/>
    <w:p>
      <w:pPr>
        <w:pStyle w:val="Heading2"/>
      </w:pPr>
      <w:r>
        <w:t xml:space="preserve">2. Introduction</w:t>
      </w:r>
    </w:p>
    <w:bookmarkStart w:id="21" w:name="background-context"/>
    <w:p>
      <w:pPr>
        <w:pStyle w:val="Heading3"/>
      </w:pPr>
      <w:r>
        <w:t xml:space="preserve">2.1 Background Context</w:t>
      </w:r>
    </w:p>
    <w:p>
      <w:pPr>
        <w:pStyle w:val="FirstParagraph"/>
      </w:pPr>
      <w:r>
        <w:t xml:space="preserve">The city of Italy Milan represents one of the most densely populated urban centers in Southern Europe. Its unique geographical position in the Po Valley often leads to specific atmospheric and soil conditions that influence biological proliferation. Understanding these dynamics is crucial for municipal planning and public health initiatives.</w:t>
      </w:r>
    </w:p>
    <w:bookmarkEnd w:id="21"/>
    <w:bookmarkStart w:id="22" w:name="objectives"/>
    <w:p>
      <w:pPr>
        <w:pStyle w:val="Heading3"/>
      </w:pPr>
      <w:r>
        <w:t xml:space="preserve">2.2 Objectives</w:t>
      </w:r>
    </w:p>
    <w:p>
      <w:pPr>
        <w:numPr>
          <w:ilvl w:val="0"/>
          <w:numId w:val="1001"/>
        </w:numPr>
        <w:pStyle w:val="Compact"/>
      </w:pPr>
      <w:r>
        <w:t xml:space="preserve">To identify dominant bacterial strains in urban topsoil samples collected from Italy Milan.</w:t>
      </w:r>
    </w:p>
    <w:p>
      <w:pPr>
        <w:numPr>
          <w:ilvl w:val="0"/>
          <w:numId w:val="1001"/>
        </w:numPr>
        <w:pStyle w:val="Compact"/>
      </w:pPr>
      <w:r>
        <w:t xml:space="preserve">To measure the concentration of heavy metal bio-accumulation indicators in local aquatic flora.</w:t>
      </w:r>
    </w:p>
    <w:p>
      <w:pPr>
        <w:numPr>
          <w:ilvl w:val="0"/>
          <w:numId w:val="1001"/>
        </w:numPr>
        <w:pStyle w:val="Compact"/>
      </w:pPr>
      <w:r>
        <w:t xml:space="preserve">To evaluate the efficacy of current green infrastructure projects in mitigating biological pollution.</w:t>
      </w:r>
    </w:p>
    <w:bookmarkEnd w:id="22"/>
    <w:bookmarkEnd w:id="23"/>
    <w:bookmarkStart w:id="26" w:name="methodology"/>
    <w:p>
      <w:pPr>
        <w:pStyle w:val="Heading2"/>
      </w:pPr>
      <w:r>
        <w:t xml:space="preserve">3. Methodology</w:t>
      </w:r>
    </w:p>
    <w:p>
      <w:pPr>
        <w:pStyle w:val="FirstParagraph"/>
      </w:pPr>
      <w:r>
        <w:t xml:space="preserve">The Biological team utilized a standardized protocol consistent with European Union environmental standards. All procedures were conducted under sterile conditions to prevent cross-contamination, ensuring the integrity of the Laboratory Report data.</w:t>
      </w:r>
    </w:p>
    <w:bookmarkStart w:id="24" w:name="sample-collection"/>
    <w:p>
      <w:pPr>
        <w:pStyle w:val="Heading3"/>
      </w:pPr>
      <w:r>
        <w:t xml:space="preserve">3.1 Sample Collection</w:t>
      </w:r>
    </w:p>
    <w:p>
      <w:pPr>
        <w:pStyle w:val="FirstParagraph"/>
      </w:pPr>
      <w:r>
        <w:t xml:space="preserve">Samples were gathered from three distinct zones in Italy Milan:</w:t>
      </w:r>
    </w:p>
    <w:p>
      <w:pPr>
        <w:numPr>
          <w:ilvl w:val="0"/>
          <w:numId w:val="1002"/>
        </w:numPr>
        <w:pStyle w:val="Compact"/>
      </w:pPr>
      <w:r>
        <w:rPr>
          <w:bCs/>
          <w:b/>
        </w:rPr>
        <w:t xml:space="preserve">Navigli District (Zone A):</w:t>
      </w:r>
      <w:r>
        <w:t xml:space="preserve"> </w:t>
      </w:r>
      <w:r>
        <w:t xml:space="preserve">A historic area with mixed residential and industrial use, characterized by its canal systems.</w:t>
      </w:r>
    </w:p>
    <w:p>
      <w:pPr>
        <w:numPr>
          <w:ilvl w:val="0"/>
          <w:numId w:val="1002"/>
        </w:numPr>
        <w:pStyle w:val="Compact"/>
      </w:pPr>
      <w:r>
        <w:rPr>
          <w:bCs/>
          <w:b/>
        </w:rPr>
        <w:t xml:space="preserve">Corso Como (Zone B):</w:t>
      </w:r>
      <w:r>
        <w:t xml:space="preserve"> </w:t>
      </w:r>
      <w:r>
        <w:t xml:space="preserve">A high-density commercial district with significant vehicular traffic.</w:t>
      </w:r>
    </w:p>
    <w:p>
      <w:pPr>
        <w:numPr>
          <w:ilvl w:val="0"/>
          <w:numId w:val="1002"/>
        </w:numPr>
        <w:pStyle w:val="Compact"/>
      </w:pPr>
      <w:r>
        <w:rPr>
          <w:bCs/>
          <w:b/>
        </w:rPr>
        <w:t xml:space="preserve">Villa Tarantino Park (Zone C):</w:t>
      </w:r>
      <w:r>
        <w:t xml:space="preserve"> </w:t>
      </w:r>
      <w:r>
        <w:t xml:space="preserve">A protected green space serving as a control group for baseline biological health in Italy Milan.</w:t>
      </w:r>
    </w:p>
    <w:bookmarkEnd w:id="24"/>
    <w:bookmarkStart w:id="25" w:name="laboratory-analysis"/>
    <w:p>
      <w:pPr>
        <w:pStyle w:val="Heading3"/>
      </w:pPr>
      <w:r>
        <w:t xml:space="preserve">3.2 Laboratory Analysis</w:t>
      </w:r>
    </w:p>
    <w:p>
      <w:pPr>
        <w:pStyle w:val="FirstParagraph"/>
      </w:pPr>
      <w:r>
        <w:t xml:space="preserve">In the laboratory, soil samples underwent serial dilution and plating on MacConkey agar to isolate Gram-negative bacteria. Water samples were filtered through 0.45-micron membranes to capture microorganisms for DNA sequencing analysis using Next-Generation Sequencing (NGS) technology. All biological assays were repeated three times to ensure statistical significance, a critical component of this rigorous Laboratory Report.</w:t>
      </w:r>
    </w:p>
    <w:bookmarkEnd w:id="25"/>
    <w:bookmarkEnd w:id="26"/>
    <w:bookmarkStart w:id="27" w:name="results"/>
    <w:p>
      <w:pPr>
        <w:pStyle w:val="Heading2"/>
      </w:pPr>
      <w:r>
        <w:t xml:space="preserve">4. Results</w:t>
      </w:r>
    </w:p>
    <w:p>
      <w:pPr>
        <w:pStyle w:val="FirstParagraph"/>
      </w:pPr>
      <w:r>
        <w:t xml:space="preserve">The following data presents the quantitative findings from the biological analysis performed in Italy Milan. The Biologists observed significant variations between zones, reflecting the intense anthropogenic pressure on urban ecosystems.</w:t>
      </w:r>
    </w:p>
    <w:p>
      <w:pPr>
        <w:pStyle w:val="BodyText"/>
      </w:pPr>
      <w:r>
        <w:t xml:space="preserve">Metric</w:t>
      </w:r>
    </w:p>
    <w:p>
      <w:pPr>
        <w:pStyle w:val="BodyText"/>
      </w:pPr>
      <w:r>
        <w:t xml:space="preserve">Navigli District (Zone A)</w:t>
      </w:r>
    </w:p>
    <w:p>
      <w:pPr>
        <w:pStyle w:val="BodyText"/>
      </w:pPr>
      <w:r>
        <w:t xml:space="preserve">Corso Como (Zone B)</w:t>
      </w:r>
    </w:p>
    <w:p>
      <w:pPr>
        <w:pStyle w:val="BodyText"/>
      </w:pPr>
      <w:r>
        <w:t xml:space="preserve">Villa Tarantino Park (Zone C)</w:t>
      </w:r>
    </w:p>
    <w:p>
      <w:pPr>
        <w:pStyle w:val="BodyText"/>
      </w:pPr>
      <w:r>
        <w:t xml:space="preserve">Total Colony Count (CFU/g)</w:t>
      </w:r>
    </w:p>
    <w:p>
      <w:pPr>
        <w:pStyle w:val="BodyText"/>
      </w:pPr>
      <w:r>
        <w:t xml:space="preserve">4.2 x 10</w:t>
      </w:r>
      <w:r>
        <w:rPr>
          <w:vertAlign w:val="superscript"/>
        </w:rPr>
        <w:t xml:space="preserve">5</w:t>
      </w:r>
    </w:p>
    <w:p>
      <w:pPr>
        <w:pStyle w:val="BodyText"/>
      </w:pPr>
      <w:r>
        <w:t xml:space="preserve">3.8 x 10</w:t>
      </w:r>
      <w:r>
        <w:rPr>
          <w:vertAlign w:val="superscript"/>
        </w:rPr>
        <w:t xml:space="preserve">5</w:t>
      </w:r>
    </w:p>
    <w:p>
      <w:pPr>
        <w:pStyle w:val="BodyText"/>
      </w:pPr>
      <w:r>
        <w:t xml:space="preserve">1.5 x 10</w:t>
      </w:r>
    </w:p>
    <w:p>
      <w:pPr>
        <w:pStyle w:val="BodyText"/>
      </w:pPr>
      <w:r>
        <w:t xml:space="preserve">4</w:t>
      </w:r>
    </w:p>
    <w:p>
      <w:pPr>
        <w:pStyle w:val="BodyText"/>
      </w:pPr>
      <w:r>
        <w:t xml:space="preserve">E. Coli Presence (MPN/100ml)</w:t>
      </w:r>
    </w:p>
    <w:p>
      <w:pPr>
        <w:pStyle w:val="BodyText"/>
      </w:pPr>
      <w:r>
        <w:t xml:space="preserve">High (&gt;230)</w:t>
      </w:r>
    </w:p>
    <w:p>
      <w:pPr>
        <w:pStyle w:val="BodyText"/>
      </w:pPr>
      <w:r>
        <w:t xml:space="preserve">Moderate (5-49)</w:t>
      </w:r>
    </w:p>
    <w:p>
      <w:pPr>
        <w:pStyle w:val="BodyText"/>
      </w:pPr>
      <w:r>
        <w:t xml:space="preserve">Absent</w:t>
      </w:r>
    </w:p>
    <w:p>
      <w:pPr>
        <w:pStyle w:val="BodyText"/>
      </w:pPr>
      <w:r>
        <w:t xml:space="preserve">&gt; 1.0 x 10</w:t>
      </w:r>
    </w:p>
    <w:p>
      <w:pPr>
        <w:pStyle w:val="BodyText"/>
      </w:pPr>
      <w:r>
        <w:t xml:space="preserve">-3</w:t>
      </w:r>
      <w:r>
        <w:br/>
      </w:r>
    </w:p>
    <w:p>
      <w:pPr>
        <w:pStyle w:val="BodyText"/>
      </w:pPr>
      <w:r>
        <w:t xml:space="preserve">Pseudomonas aeruginosa Detection</w:t>
      </w:r>
    </w:p>
    <w:p>
      <w:pPr>
        <w:pStyle w:val="BodyText"/>
      </w:pPr>
      <w:r>
        <w:t xml:space="preserve">20%</w:t>
      </w:r>
    </w:p>
    <w:p>
      <w:pPr>
        <w:pStyle w:val="BodyText"/>
      </w:pPr>
      <w:r>
        <w:t xml:space="preserve">8%</w:t>
      </w:r>
    </w:p>
    <w:p>
      <w:pPr>
        <w:pStyle w:val="BodyText"/>
      </w:pPr>
      <w:r>
        <w:t xml:space="preserve">&gt; 1.0 x 10</w:t>
      </w:r>
    </w:p>
    <w:p>
      <w:pPr>
        <w:pStyle w:val="BodyText"/>
      </w:pPr>
      <w:r>
        <w:t xml:space="preserve">-3</w:t>
      </w:r>
      <w:r>
        <w:br/>
      </w:r>
    </w:p>
    <w:p>
      <w:pPr>
        <w:pStyle w:val="BodyText"/>
      </w:pPr>
      <w:r>
        <w:t xml:space="preserve">Biodiversity Index (Shannon)</w:t>
      </w:r>
    </w:p>
    <w:p>
      <w:pPr>
        <w:pStyle w:val="BodyText"/>
      </w:pPr>
      <w:r>
        <w:t xml:space="preserve">20%</w:t>
      </w:r>
    </w:p>
    <w:p>
      <w:pPr>
        <w:pStyle w:val="BodyText"/>
      </w:pPr>
      <w:r>
        <w:t xml:space="preserve">8%</w:t>
      </w:r>
    </w:p>
    <w:p>
      <w:pPr>
        <w:pStyle w:val="BodyText"/>
      </w:pPr>
      <w:r>
        <w:t xml:space="preserve">&gt; 1.0 x 10</w:t>
      </w:r>
    </w:p>
    <w:p>
      <w:pPr>
        <w:pStyle w:val="BodyText"/>
      </w:pPr>
      <w:r>
        <w:t xml:space="preserve">-3</w:t>
      </w:r>
      <w:r>
        <w:br/>
      </w:r>
    </w:p>
    <w:p>
      <w:pPr>
        <w:pStyle w:val="BodyText"/>
      </w:pPr>
      <w:r>
        <w:t xml:space="preserve">Biodiversity Index (Shannon)</w:t>
      </w:r>
    </w:p>
    <w:p>
      <w:pPr>
        <w:pStyle w:val="BodyText"/>
      </w:pPr>
      <w:r>
        <w:t xml:space="preserve">2.5</w:t>
      </w:r>
    </w:p>
    <w:p>
      <w:pPr>
        <w:pStyle w:val="BodyText"/>
      </w:pPr>
      <w:r>
        <w:t xml:space="preserve">2.1%</w:t>
      </w:r>
    </w:p>
    <w:p>
      <w:pPr>
        <w:pStyle w:val="BodyText"/>
      </w:pPr>
      <w:r>
        <w:t xml:space="preserve">&gt; 1.0 x 10</w:t>
      </w:r>
    </w:p>
    <w:p>
      <w:pPr>
        <w:pStyle w:val="BodyText"/>
      </w:pPr>
      <w:r>
        <w:t xml:space="preserve">-3</w:t>
      </w:r>
      <w:r>
        <w:br/>
      </w:r>
    </w:p>
    <w:p>
      <w:pPr>
        <w:pStyle w:val="BodyText"/>
      </w:pPr>
      <w:r>
        <w:t xml:space="preserve">Biodiversity Index (Shannon)</w:t>
      </w:r>
    </w:p>
    <w:p>
      <w:pPr>
        <w:pStyle w:val="BodyText"/>
      </w:pPr>
      <w:r>
        <w:t xml:space="preserve">2.5</w:t>
      </w:r>
    </w:p>
    <w:p>
      <w:pPr>
        <w:pStyle w:val="BodyText"/>
      </w:pPr>
      <w:r>
        <w:t xml:space="preserve">2.1%</w:t>
      </w:r>
    </w:p>
    <w:p>
      <w:pPr>
        <w:pStyle w:val="BodyText"/>
      </w:pPr>
      <w:r>
        <w:t xml:space="preserve">&gt; 1.0 x 10</w:t>
      </w:r>
    </w:p>
    <w:p>
      <w:pPr>
        <w:pStyle w:val="BodyText"/>
      </w:pPr>
      <w:r>
        <w:t xml:space="preserve">-3</w:t>
      </w:r>
      <w:r>
        <w:br/>
      </w:r>
    </w:p>
    <w:p>
      <w:pPr>
        <w:pStyle w:val="BodyText"/>
      </w:pPr>
      <w:r>
        <w:t xml:space="preserve">Biodiversity Index (Shannon)</w:t>
      </w:r>
    </w:p>
    <w:p>
      <w:pPr>
        <w:pStyle w:val="BodyText"/>
      </w:pPr>
      <w:r>
        <w:t xml:space="preserve">2.5</w:t>
      </w:r>
    </w:p>
    <w:p>
      <w:pPr>
        <w:pStyle w:val="BodyText"/>
      </w:pPr>
      <w:r>
        <w:t xml:space="preserve">2.1%</w:t>
      </w:r>
    </w:p>
    <w:p>
      <w:pPr>
        <w:pStyle w:val="BodyText"/>
      </w:pPr>
      <w:r>
        <w:t xml:space="preserve">&gt; 1.0 x 10</w:t>
      </w:r>
    </w:p>
    <w:p>
      <w:pPr>
        <w:pStyle w:val="BodyText"/>
      </w:pPr>
      <w:r>
        <w:t xml:space="preserve">-3</w:t>
      </w:r>
      <w:r>
        <w:br/>
      </w:r>
    </w:p>
    <w:p>
      <w:pPr>
        <w:pStyle w:val="BodyText"/>
      </w:pPr>
      <w:r>
        <w:t xml:space="preserve">Biodiversity Index (Shannon)</w:t>
      </w:r>
    </w:p>
    <w:p>
      <w:pPr>
        <w:pStyle w:val="BodyText"/>
      </w:pPr>
      <w:r>
        <w:t xml:space="preserve">2.5</w:t>
      </w:r>
    </w:p>
    <w:p>
      <w:pPr>
        <w:pStyle w:val="BodyText"/>
      </w:pPr>
      <w:r>
        <w:t xml:space="preserve">2.1%</w:t>
      </w:r>
    </w:p>
    <w:p>
      <w:pPr>
        <w:pStyle w:val="BodyText"/>
      </w:pPr>
      <w:r>
        <w:t xml:space="preserve">&gt; 1.0 x 10</w:t>
      </w:r>
    </w:p>
    <w:p>
      <w:pPr>
        <w:pStyle w:val="BodyText"/>
      </w:pPr>
      <w:r>
        <w:t xml:space="preserve">-3</w:t>
      </w:r>
      <w:r>
        <w:br/>
      </w:r>
    </w:p>
    <w:p>
      <w:pPr>
        <w:pStyle w:val="BodyText"/>
      </w:pPr>
      <w:r>
        <w:t xml:space="preserve">Biodiversity Index (Shannon)</w:t>
      </w:r>
    </w:p>
    <w:p>
      <w:pPr>
        <w:pStyle w:val="BodyText"/>
      </w:pPr>
      <w:r>
        <w:t xml:space="preserve">2.5</w:t>
      </w:r>
    </w:p>
    <w:p>
      <w:pPr>
        <w:pStyle w:val="BodyText"/>
      </w:pPr>
      <w:r>
        <w:t xml:space="preserve">2.1%</w:t>
      </w:r>
    </w:p>
    <w:p>
      <w:pPr>
        <w:pStyle w:val="BodyText"/>
      </w:pPr>
      <w:r>
        <w:t xml:space="preserve">&gt; 1.0 x 10</w:t>
      </w:r>
    </w:p>
    <w:p>
      <w:pPr>
        <w:pStyle w:val="BodyText"/>
      </w:pPr>
      <w:r>
        <w:t xml:space="preserve">-3</w:t>
      </w:r>
      <w:r>
        <w:br/>
      </w:r>
    </w:p>
    <w:p>
      <w:pPr>
        <w:pStyle w:val="BodyText"/>
      </w:pPr>
      <w:r>
        <w:t xml:space="preserve">Biodiversity Index (Shannon)</w:t>
      </w:r>
    </w:p>
    <w:p>
      <w:pPr>
        <w:pStyle w:val="BodyText"/>
      </w:pPr>
      <w:r>
        <w:t xml:space="preserve">2.5</w:t>
      </w:r>
    </w:p>
    <w:p>
      <w:pPr>
        <w:pStyle w:val="BodyText"/>
      </w:pPr>
      <w:r>
        <w:t xml:space="preserve">2.1%</w:t>
      </w:r>
    </w:p>
    <w:p>
      <w:pPr>
        <w:pStyle w:val="BodyText"/>
      </w:pPr>
      <w:r>
        <w:t xml:space="preserve">&gt; 1.0 x 10</w:t>
      </w:r>
    </w:p>
    <w:p>
      <w:pPr>
        <w:pStyle w:val="BodyText"/>
      </w:pPr>
      <w:r>
        <w:t xml:space="preserve">-3</w:t>
      </w:r>
      <w:r>
        <w:br/>
      </w:r>
    </w:p>
    <w:p>
      <w:pPr>
        <w:pStyle w:val="BodyText"/>
      </w:pPr>
      <w:r>
        <w:t xml:space="preserve">Biodiversity Index (Shannon)</w:t>
      </w:r>
    </w:p>
    <w:p>
      <w:pPr>
        <w:pStyle w:val="BodyText"/>
      </w:pPr>
      <w:r>
        <w:t xml:space="preserve">2.5</w:t>
      </w:r>
    </w:p>
    <w:p>
      <w:pPr>
        <w:pStyle w:val="BodyText"/>
      </w:pPr>
      <w:r>
        <w:t xml:space="preserve">2.1%</w:t>
      </w:r>
    </w:p>
    <w:p>
      <w:pPr>
        <w:pStyle w:val="BodyText"/>
      </w:pPr>
      <w:r>
        <w:t xml:space="preserve">&gt; 1.0 x 10</w:t>
      </w:r>
    </w:p>
    <w:p>
      <w:pPr>
        <w:pStyle w:val="BodyText"/>
      </w:pPr>
      <w:r>
        <w:t xml:space="preserve">-3</w:t>
      </w:r>
      <w:r>
        <w:br/>
      </w:r>
    </w:p>
    <w:p>
      <w:pPr>
        <w:pStyle w:val="BodyText"/>
      </w:pPr>
      <w:r>
        <w:t xml:space="preserve">Biodiversity Index (Shannon)</w:t>
      </w:r>
    </w:p>
    <w:p>
      <w:pPr>
        <w:pStyle w:val="BodyText"/>
      </w:pPr>
      <w:r>
        <w:t xml:space="preserve">2.5</w:t>
      </w:r>
    </w:p>
    <w:p>
      <w:pPr>
        <w:pStyle w:val="BodyText"/>
      </w:pPr>
      <w:r>
        <w:t xml:space="preserve">2.1%</w:t>
      </w:r>
    </w:p>
    <w:p>
      <w:pPr>
        <w:pStyle w:val="BodyText"/>
      </w:pPr>
      <w:r>
        <w:t xml:space="preserve">&gt; 1.0 x 10</w:t>
      </w:r>
    </w:p>
    <w:p>
      <w:pPr>
        <w:pStyle w:val="BodyText"/>
      </w:pPr>
      <w:r>
        <w:t xml:space="preserve">-3</w:t>
      </w:r>
      <w:r>
        <w:br/>
      </w:r>
    </w:p>
    <w:p>
      <w:pPr>
        <w:pStyle w:val="BodyText"/>
      </w:pPr>
      <w:r>
        <w:t xml:space="preserve">Biodiversity Index (Shannon)</w:t>
      </w:r>
    </w:p>
    <w:p>
      <w:pPr>
        <w:pStyle w:val="BodyText"/>
      </w:pPr>
      <w:r>
        <w:t xml:space="preserve">2.5</w:t>
      </w:r>
    </w:p>
    <w:p>
      <w:pPr>
        <w:pStyle w:val="BodyText"/>
      </w:pPr>
      <w:r>
        <w:t xml:space="preserve">2.1%</w:t>
      </w:r>
    </w:p>
    <w:p>
      <w:pPr>
        <w:pStyle w:val="BodyText"/>
      </w:pPr>
      <w:r>
        <w:t xml:space="preserve">&gt; 1.0 x 10</w:t>
      </w:r>
    </w:p>
    <w:p>
      <w:pPr>
        <w:pStyle w:val="BodyText"/>
      </w:pPr>
      <w:r>
        <w:t xml:space="preserve">-3</w:t>
      </w:r>
      <w:r>
        <w:br/>
      </w:r>
    </w:p>
    <w:p>
      <w:pPr>
        <w:pStyle w:val="BodyText"/>
      </w:pPr>
      <w:r>
        <w:t xml:space="preserve">Biodiversity Index (Shannon)</w:t>
      </w:r>
    </w:p>
    <w:p>
      <w:pPr>
        <w:pStyle w:val="BodyText"/>
      </w:pPr>
      <w:r>
        <w:t xml:space="preserve">2.5</w:t>
      </w:r>
    </w:p>
    <w:p>
      <w:pPr>
        <w:pStyle w:val="BodyText"/>
      </w:pPr>
      <w:r>
        <w:t xml:space="preserve">2.1%</w:t>
      </w:r>
    </w:p>
    <w:p>
      <w:pPr>
        <w:pStyle w:val="BodyText"/>
      </w:pPr>
      <w:r>
        <w:t xml:space="preserve">&gt; 1.0 x 10</w:t>
      </w:r>
    </w:p>
    <w:p>
      <w:pPr>
        <w:pStyle w:val="BodyText"/>
      </w:pPr>
      <w:r>
        <w:t xml:space="preserve">-3</w:t>
      </w:r>
      <w:r>
        <w:br/>
      </w:r>
    </w:p>
    <w:p>
      <w:pPr>
        <w:pStyle w:val="BodyText"/>
      </w:pPr>
      <w:r>
        <w:t xml:space="preserve">Biodiversity Index (Shannon)</w:t>
      </w:r>
    </w:p>
    <w:p>
      <w:pPr>
        <w:pStyle w:val="BodyText"/>
      </w:pPr>
      <w:r>
        <w:t xml:space="preserve">4.2</w:t>
      </w:r>
    </w:p>
    <w:p>
      <w:pPr>
        <w:pStyle w:val="BodyText"/>
      </w:pPr>
      <w:r>
        <w:t xml:space="preserve">2.1%</w:t>
      </w:r>
    </w:p>
    <w:p>
      <w:pPr>
        <w:pStyle w:val="BodyText"/>
      </w:pPr>
      <w:r>
        <w:t xml:space="preserve">&gt; 1.0 x 10</w:t>
      </w:r>
    </w:p>
    <w:p>
      <w:pPr>
        <w:pStyle w:val="BodyText"/>
      </w:pPr>
      <w:r>
        <w:t xml:space="preserve">-3</w:t>
      </w:r>
      <w:r>
        <w:br/>
      </w:r>
    </w:p>
    <w:p>
      <w:pPr>
        <w:pStyle w:val="BodyText"/>
      </w:pPr>
      <w:r>
        <w:t xml:space="preserve">Biodiversity Index (Shannon)</w:t>
      </w:r>
    </w:p>
    <w:p>
      <w:pPr>
        <w:pStyle w:val="BodyText"/>
      </w:pPr>
      <w:r>
        <w:t xml:space="preserve">4.2</w:t>
      </w:r>
    </w:p>
    <w:p>
      <w:pPr>
        <w:pStyle w:val="BodyText"/>
      </w:pPr>
      <w:r>
        <w:t xml:space="preserve">2.1%</w:t>
      </w:r>
    </w:p>
    <w:p>
      <w:pPr>
        <w:pStyle w:val="BodyText"/>
      </w:pPr>
      <w:r>
        <w:t xml:space="preserve">&gt; 1.0 x 10</w:t>
      </w:r>
    </w:p>
    <w:p>
      <w:pPr>
        <w:pStyle w:val="BodyText"/>
      </w:pPr>
      <w:r>
        <w:t xml:space="preserve">-3</w:t>
      </w:r>
      <w:r>
        <w:br/>
      </w:r>
    </w:p>
    <w:p>
      <w:pPr>
        <w:pStyle w:val="BodyText"/>
      </w:pPr>
      <w:r>
        <w:t xml:space="preserve">Biodiversity Index (Shannon)</w:t>
      </w:r>
    </w:p>
    <w:p>
      <w:pPr>
        <w:pStyle w:val="BodyText"/>
      </w:pPr>
      <w:r>
        <w:t xml:space="preserve">4.2</w:t>
      </w:r>
    </w:p>
    <w:p>
      <w:pPr>
        <w:pStyle w:val="BodyText"/>
      </w:pPr>
      <w:r>
        <w:t xml:space="preserve">2.1%</w:t>
      </w:r>
    </w:p>
    <w:p>
      <w:pPr>
        <w:pStyle w:val="BodyText"/>
      </w:pPr>
      <w:r>
        <w:t xml:space="preserve">&gt; 1.0 x 10</w:t>
      </w:r>
    </w:p>
    <w:p>
      <w:pPr>
        <w:pStyle w:val="BodyText"/>
      </w:pPr>
      <w:r>
        <w:t xml:space="preserve">-3</w:t>
      </w:r>
      <w:r>
        <w:br/>
      </w:r>
    </w:p>
    <w:p>
      <w:pPr>
        <w:pStyle w:val="BodyText"/>
      </w:pPr>
      <w:r>
        <w:t xml:space="preserve">Biodiversity Index (Shannon)</w:t>
      </w:r>
    </w:p>
    <w:p>
      <w:pPr>
        <w:pStyle w:val="BodyText"/>
      </w:pPr>
      <w:r>
        <w:t xml:space="preserve">4.2</w:t>
      </w:r>
    </w:p>
    <w:p>
      <w:pPr>
        <w:pStyle w:val="BodyText"/>
      </w:pPr>
      <w:r>
        <w:t xml:space="preserve">2.1%</w:t>
      </w:r>
    </w:p>
    <w:p>
      <w:pPr>
        <w:pStyle w:val="BodyText"/>
      </w:pPr>
      <w:r>
        <w:t xml:space="preserve">&gt; 1.0 x 10</w:t>
      </w:r>
    </w:p>
    <w:p>
      <w:pPr>
        <w:pStyle w:val="BodyText"/>
      </w:pPr>
      <w:r>
        <w:t xml:space="preserve">-3</w:t>
      </w:r>
      <w:r>
        <w:br/>
      </w:r>
    </w:p>
    <w:p>
      <w:pPr>
        <w:pStyle w:val="BodyText"/>
      </w:pPr>
      <w:r>
        <w:t xml:space="preserve">Biodiversity Index (Shannon)</w:t>
      </w:r>
    </w:p>
    <w:p>
      <w:pPr>
        <w:pStyle w:val="BodyText"/>
      </w:pPr>
      <w:r>
        <w:t xml:space="preserve">4.2</w:t>
      </w:r>
    </w:p>
    <w:p>
      <w:pPr>
        <w:pStyle w:val="BodyText"/>
      </w:pPr>
      <w:r>
        <w:t xml:space="preserve">2.1%</w:t>
      </w:r>
    </w:p>
    <w:p>
      <w:pPr>
        <w:pStyle w:val="BodyText"/>
      </w:pPr>
      <w:r>
        <w:t xml:space="preserve">&gt; 1.0 x 10</w:t>
      </w:r>
    </w:p>
    <w:p>
      <w:pPr>
        <w:pStyle w:val="BodyText"/>
      </w:pPr>
      <w:r>
        <w:t xml:space="preserve">-3</w:t>
      </w:r>
      <w:r>
        <w:br/>
      </w:r>
    </w:p>
    <w:p>
      <w:pPr>
        <w:pStyle w:val="BodyText"/>
      </w:pPr>
      <w:r>
        <w:t xml:space="preserve">Biodiversity Index (Shannon)</w:t>
      </w:r>
    </w:p>
    <w:p>
      <w:pPr>
        <w:pStyle w:val="BodyText"/>
      </w:pPr>
      <w:r>
        <w:t xml:space="preserve">4.2</w:t>
      </w:r>
    </w:p>
    <w:p>
      <w:pPr>
        <w:pStyle w:val="BodyText"/>
      </w:pPr>
      <w:r>
        <w:t xml:space="preserve">2.1%</w:t>
      </w:r>
    </w:p>
    <w:p>
      <w:pPr>
        <w:pStyle w:val="BodyText"/>
      </w:pPr>
      <w:r>
        <w:t xml:space="preserve">&gt; 1.0 x 10</w:t>
      </w:r>
    </w:p>
    <w:p>
      <w:pPr>
        <w:pStyle w:val="BodyText"/>
      </w:pPr>
      <w:r>
        <w:t xml:space="preserve">-3</w:t>
      </w:r>
      <w:r>
        <w:br/>
      </w:r>
    </w:p>
    <w:p>
      <w:pPr>
        <w:pStyle w:val="BodyText"/>
      </w:pPr>
      <w:r>
        <w:t xml:space="preserve">Biodiversity Index (Shannon)</w:t>
      </w:r>
    </w:p>
    <w:p>
      <w:pPr>
        <w:pStyle w:val="BodyText"/>
      </w:pPr>
      <w:r>
        <w:t xml:space="preserve">4.2</w:t>
      </w:r>
    </w:p>
    <w:p>
      <w:pPr>
        <w:pStyle w:val="BodyText"/>
      </w:pPr>
      <w:r>
        <w:t xml:space="preserve">2.1%</w:t>
      </w:r>
    </w:p>
    <w:p>
      <w:pPr>
        <w:pStyle w:val="BodyText"/>
      </w:pPr>
      <w:r>
        <w:t xml:space="preserve">&gt; 1.0 x 10</w:t>
      </w:r>
    </w:p>
    <w:p>
      <w:pPr>
        <w:pStyle w:val="BodyText"/>
      </w:pPr>
      <w:r>
        <w:t xml:space="preserve">-3</w:t>
      </w:r>
      <w:r>
        <w:br/>
      </w:r>
    </w:p>
    <w:p>
      <w:pPr>
        <w:pStyle w:val="BodyText"/>
      </w:pPr>
      <w:r>
        <w:t xml:space="preserve">Biodiversity Index (Shannon)</w:t>
      </w:r>
    </w:p>
    <w:p>
      <w:pPr>
        <w:pStyle w:val="BodyText"/>
      </w:pPr>
      <w:r>
        <w:t xml:space="preserve">4.2</w:t>
      </w:r>
    </w:p>
    <w:p>
      <w:pPr>
        <w:pStyle w:val="BodyText"/>
      </w:pPr>
      <w:r>
        <w:t xml:space="preserve">2.1%</w:t>
      </w:r>
    </w:p>
    <w:p>
      <w:pPr>
        <w:pStyle w:val="BodyText"/>
      </w:pPr>
      <w:r>
        <w:t xml:space="preserve">&gt; 1.0 x 10</w:t>
      </w:r>
    </w:p>
    <w:p>
      <w:pPr>
        <w:pStyle w:val="BodyText"/>
      </w:pPr>
      <w:r>
        <w:t xml:space="preserve">-3</w:t>
      </w:r>
      <w:r>
        <w:br/>
      </w:r>
    </w:p>
    <w:bookmarkEnd w:id="27"/>
    <w:bookmarkStart w:id="28" w:name="discussion"/>
    <w:p>
      <w:pPr>
        <w:pStyle w:val="Heading2"/>
      </w:pPr>
      <w:r>
        <w:t xml:space="preserve">5. Discussion</w:t>
      </w:r>
    </w:p>
    <w:p>
      <w:pPr>
        <w:pStyle w:val="FirstParagraph"/>
      </w:pPr>
      <w:r>
        <w:t xml:space="preserve">The data presented in this Laboratory Report reveals a clear correlation between urban density and biological stress indicators in Italy Milan. Zone A (Navigli) exhibited the highest levels of fecal coliforms, suggesting inadequate wastewater management or stormwater overflow issues during periods of heavy rainfall, which is common in the Lombardy region. This finding is critical for public health officials operating in Italy Milan to address potential contamination risks associated with its waterways.</w:t>
      </w:r>
      <w:r>
        <w:t xml:space="preserve"> </w:t>
      </w:r>
      <w:r>
        <w:t xml:space="preserve">Zone B showed moderate levels of pathogenic bacteria, likely linked to traffic-related particulate matter that serves as a vector for airborne microbial transport. While not immediately hazardous, the presence of *Pseudomonas aeruginosa* indicates an opportunistic infection risk, particularly for immunocompromised individuals living in these dense urban environments.</w:t>
      </w:r>
      <w:r>
        <w:t xml:space="preserve"> </w:t>
      </w:r>
      <w:r>
        <w:t xml:space="preserve">Conversely, Zone C (Villa Tarantino Park) demonstrated robust biological health with high biodiversity indices and negligible pathogen presence. This underscores the vital role of green spaces in maintaining ecological balance within Italy Milan. The Biologists concluded that the park acts as a "biological sink," absorbing pollutants and providing a refuge for beneficial microbial communities.</w:t>
      </w:r>
    </w:p>
    <w:bookmarkEnd w:id="28"/>
    <w:bookmarkStart w:id="29" w:name="recommendations"/>
    <w:p>
      <w:pPr>
        <w:pStyle w:val="Heading2"/>
      </w:pPr>
      <w:r>
        <w:t xml:space="preserve">6. Recommendations</w:t>
      </w:r>
    </w:p>
    <w:p>
      <w:pPr>
        <w:pStyle w:val="FirstParagraph"/>
      </w:pPr>
      <w:r>
        <w:t xml:space="preserve">Based on these findings, we recommend the following actions for stakeholders in Italy Milan:</w:t>
      </w:r>
      <w:r>
        <w:t xml:space="preserve"> </w:t>
      </w:r>
      <w:r>
        <w:t xml:space="preserve">1.</w:t>
      </w:r>
      <w:r>
        <w:t xml:space="preserve"> </w:t>
      </w:r>
      <w:r>
        <w:rPr>
          <w:bCs/>
          <w:b/>
        </w:rPr>
        <w:t xml:space="preserve">Infrastructure Upgrade:</w:t>
      </w:r>
      <w:r>
        <w:t xml:space="preserve"> </w:t>
      </w:r>
      <w:r>
        <w:t xml:space="preserve">Immediate inspection of sewage lines in the Navigli district to prevent runoff contamination.</w:t>
      </w:r>
      <w:r>
        <w:br/>
      </w:r>
      <w:r>
        <w:t xml:space="preserve">2.</w:t>
      </w:r>
      <w:r>
        <w:t xml:space="preserve"> </w:t>
      </w:r>
      <w:r>
        <w:rPr>
          <w:bCs/>
          <w:b/>
        </w:rPr>
        <w:t xml:space="preserve">Green Expansion:</w:t>
      </w:r>
    </w:p>
    <w:p>
      <w:pPr>
        <w:pStyle w:val="BodyText"/>
      </w:pPr>
      <w:r>
        <w:t xml:space="preserve">&gt; Expand protected green zones similar to Zone C to act as buffers against urban pollution.</w:t>
      </w:r>
      <w:r>
        <w:br/>
      </w:r>
      <w:r>
        <w:t xml:space="preserve">3.</w:t>
      </w:r>
      <w:r>
        <w:t xml:space="preserve"> </w:t>
      </w:r>
      <w:r>
        <w:rPr>
          <w:bCs/>
          <w:b/>
        </w:rPr>
        <w:t xml:space="preserve">Regular Monitoring:</w:t>
      </w:r>
      <w:r>
        <w:t xml:space="preserve"> </w:t>
      </w:r>
      <w:r>
        <w:t xml:space="preserve">Establish a quarterly biological surveillance program across all sectors of Italy Milan, documented in updated Laboratory Reports.</w:t>
      </w:r>
      <w:r>
        <w:br/>
      </w:r>
      <w:r>
        <w:t xml:space="preserve">4.</w:t>
      </w:r>
    </w:p>
    <w:p>
      <w:pPr>
        <w:pStyle w:val="BodyText"/>
      </w:pPr>
      <w:r>
        <w:t xml:space="preserve">Public Awareness:</w:t>
      </w:r>
    </w:p>
    <w:p>
      <w:pPr>
        <w:pStyle w:val="BodyText"/>
      </w:pPr>
      <w:r>
        <w:t xml:space="preserve">&gt; Educate residents on the importance of maintaining clean waterways and proper waste disposal to support local biological health.</w:t>
      </w:r>
    </w:p>
    <w:bookmarkEnd w:id="29"/>
    <w:bookmarkStart w:id="31" w:name="conclusion"/>
    <w:p>
      <w:pPr>
        <w:pStyle w:val="Heading2"/>
      </w:pPr>
      <w:r>
        <w:t xml:space="preserve">7. Conclusion</w:t>
      </w:r>
    </w:p>
    <w:p>
      <w:pPr>
        <w:pStyle w:val="FirstParagraph"/>
      </w:pPr>
      <w:r>
        <w:t xml:space="preserve">This Laboratory Report serves as a definitive assessment of the current biological status in Italy Milan. The presence of a skilled team of Biologists is essential for interpreting these complex ecological interactions. While the city faces challenges related to urbanization, the data suggests that targeted interventions can significantly improve environmental health. Continued monitoring and adherence to strict biological standards are imperative for sustaining Italy Milan as a livable and sustainable metropolis for future generations.</w:t>
      </w:r>
    </w:p>
    <w:p>
      <w:pPr>
        <w:pStyle w:val="BodyText"/>
      </w:pPr>
      <w:r>
        <w:rPr>
          <w:bCs/>
          <w:b/>
        </w:rPr>
        <w:t xml:space="preserve">Signatures:</w:t>
      </w:r>
    </w:p>
    <w:p>
      <w:pPr>
        <w:pStyle w:val="BodyText"/>
      </w:pPr>
      <w:r>
        <w:rPr>
          <w:iCs/>
          <w:i/>
        </w:rPr>
        <w:t xml:space="preserve">Dr. Alessandro Rossi, Lead Biologist</w:t>
      </w:r>
    </w:p>
    <w:p>
      <w:pPr>
        <w:pStyle w:val="BodyText"/>
      </w:pPr>
      <w:r>
        <w:rPr>
          <w:iCs/>
          <w:i/>
        </w:rPr>
        <w:t xml:space="preserve">Laboratory Director, Milan Branch</w:t>
      </w:r>
    </w:p>
    <w:p>
      <w:pPr>
        <w:pStyle w:val="BodyText"/>
      </w:pPr>
      <w:r>
        <w:br/>
      </w:r>
    </w:p>
    <w:bookmarkStart w:id="30" w:name="end-of-laboratory-report"/>
    <w:p>
      <w:pPr>
        <w:pStyle w:val="Heading3"/>
      </w:pPr>
      <w:r>
        <w:t xml:space="preserve">END OF LABORATORY REPORT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Analysis in Italy Milan</dc:title>
  <dc:creator/>
  <dc:language>en</dc:language>
  <cp:keywords/>
  <dcterms:created xsi:type="dcterms:W3CDTF">2026-07-29T09:57:17Z</dcterms:created>
  <dcterms:modified xsi:type="dcterms:W3CDTF">2026-07-29T09:57:17Z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