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Biological</w:t>
      </w:r>
      <w:r>
        <w:t xml:space="preserve"> </w:t>
      </w:r>
      <w:r>
        <w:t xml:space="preserve">Research</w:t>
      </w:r>
      <w:r>
        <w:t xml:space="preserve"> </w:t>
      </w:r>
      <w:r>
        <w:t xml:space="preserve">Protocols</w:t>
      </w:r>
      <w:r>
        <w:t xml:space="preserve"> </w:t>
      </w:r>
      <w:r>
        <w:t xml:space="preserve">in</w:t>
      </w:r>
      <w:r>
        <w:t xml:space="preserve"> </w:t>
      </w:r>
      <w:r>
        <w:t xml:space="preserve">Netherlands</w:t>
      </w:r>
      <w:r>
        <w:t xml:space="preserve"> </w:t>
      </w:r>
      <w:r>
        <w:t xml:space="preserve">Amsterdam</w:t>
      </w:r>
    </w:p>
    <w:bookmarkStart w:id="31" w:name="X711e97d0f240986250a581756e4b37fdd78ccf2"/>
    <w:p>
      <w:pPr>
        <w:pStyle w:val="Heading1"/>
      </w:pPr>
      <w:r>
        <w:t xml:space="preserve">Laboratory Report: Biological Research Protocols in Netherlands Amsterdam</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Amsterdam Institute for Life and Environment (AILE)</w:t>
      </w:r>
      <w:r>
        <w:br/>
      </w:r>
      <w:r>
        <w:rPr>
          <w:bCs/>
          <w:b/>
        </w:rPr>
        <w:t xml:space="preserve">Location:</w:t>
      </w:r>
      <w:r>
        <w:t xml:space="preserve"> </w:t>
      </w:r>
      <w:r>
        <w:t xml:space="preserve">Netherlands, Amsterdam</w:t>
      </w:r>
      <w:r>
        <w:br/>
      </w:r>
    </w:p>
    <w:p>
      <w:pPr>
        <w:pStyle w:val="SourceCode"/>
      </w:pPr>
    </w:p>
    <w:p>
      <w:pPr>
        <w:pStyle w:val="FirstParagraph"/>
      </w:pPr>
      <w:r>
        <w:t xml:space="preserve">Bio</w:t>
      </w:r>
      <w:r>
        <w:rPr>
          <w:bCs/>
          <w:b/>
        </w:rPr>
        <w:t xml:space="preserve">Title:</w:t>
      </w:r>
      <w:r>
        <w:t xml:space="preserve"> </w:t>
      </w:r>
      <w:r>
        <w:t xml:space="preserve">Sustainable Biologist Methodologies in Urban Ecosystems</w:t>
      </w:r>
    </w:p>
    <w:bookmarkStart w:id="20" w:name="executive-summary"/>
    <w:p>
      <w:pPr>
        <w:pStyle w:val="Heading2"/>
      </w:pPr>
      <w:r>
        <w:t xml:space="preserve">1. Executive Summary</w:t>
      </w:r>
    </w:p>
    <w:p>
      <w:pPr>
        <w:pStyle w:val="FirstParagraph"/>
      </w:pPr>
      <w:r>
        <w:t xml:space="preserve">This comprehensive laboratory report details the operational procedures, ethical considerations, and scientific findings associated with modern biological research conducted within the unique urban and ecological context of Netherlands Amsterdam. As a global hub for innovation in sustainability and environmental science, Amsterdam serves as a critical testing ground for biologists aiming to reconcile rapid urbanization with biodiversity preservation. This document outlines how a dedicated biologist must navigate the specific regulatory frameworks of the Netherlands while addressing local environmental challenges such as water management, green infrastructure integration, and microbiome health.</w:t>
      </w:r>
    </w:p>
    <w:bookmarkEnd w:id="20"/>
    <w:bookmarkStart w:id="21" w:name="introduction"/>
    <w:p>
      <w:pPr>
        <w:pStyle w:val="Heading2"/>
      </w:pPr>
      <w:r>
        <w:t xml:space="preserve">2. Introduction</w:t>
      </w:r>
    </w:p>
    <w:p>
      <w:pPr>
        <w:pStyle w:val="FirstParagraph"/>
      </w:pPr>
      <w:r>
        <w:t xml:space="preserve">The role of a biologist in contemporary society has evolved significantly from traditional observational studies to active participant in policy-making and urban planning. In the specific geographic and cultural setting of Netherlands Amsterdam, this evolution is driven by the urgent need to manage high-density populations while maintaining ecological balance. The city’s unique hydrology, characterized by extensive canal systems and polder landscapes, presents distinct challenges for aquatic biologists. Furthermore, the dense urban fabric requires terrestrial biologists to develop innovative strategies for supporting pollinators and managing urban heat islands.</w:t>
      </w:r>
    </w:p>
    <w:p>
      <w:pPr>
        <w:pStyle w:val="BodyText"/>
      </w:pPr>
      <w:r>
        <w:t xml:space="preserve">This laboratory report aims to establish a standardized framework for biological investigations in Amsterdam. It emphasizes the integration of Dutch environmental policies with rigorous scientific methodology. By focusing on key aspects such as water quality analysis, soil microbiology, and biodiversity monitoring, this document provides a template for biologists working in or consulting for institutions within Netherlands Amsterdam.</w:t>
      </w:r>
    </w:p>
    <w:bookmarkEnd w:id="21"/>
    <w:bookmarkStart w:id="25" w:name="methodology"/>
    <w:p>
      <w:pPr>
        <w:pStyle w:val="Heading2"/>
      </w:pPr>
      <w:r>
        <w:t xml:space="preserve">3. Methodology</w:t>
      </w:r>
    </w:p>
    <w:p>
      <w:pPr>
        <w:pStyle w:val="FirstParagraph"/>
      </w:pPr>
      <w:r>
        <w:t xml:space="preserve">The methodologies outlined in this laboratory report adhere to the strict standards set forth by the Dutch Ministry of Infrastructure and Water Management and are aligned with European Union directives on water quality (WFD) and habitat conservation. The following sections detail the specific protocols employed.</w:t>
      </w:r>
    </w:p>
    <w:bookmarkStart w:id="22" w:name="aquatic-biology-sampling"/>
    <w:p>
      <w:pPr>
        <w:pStyle w:val="Heading3"/>
      </w:pPr>
      <w:r>
        <w:t xml:space="preserve">3.1 Aquatic Biology Sampling</w:t>
      </w:r>
    </w:p>
    <w:p>
      <w:pPr>
        <w:pStyle w:val="FirstParagraph"/>
      </w:pPr>
      <w:r>
        <w:t xml:space="preserve">In Amsterdam, aquatic research primarily focuses on the city’s canals, rivers, and retention basins. Biologists must utilize non-invasive sampling techniques to minimize disturbance to local fish populations and benthic organisms. Water samples are collected at varying depths using Niskin bottles to assess vertical stratification of nutrients and pathogens. The presence of microplastics is analyzed through filtration processes followed by spectroscopic identification, a critical task for biologists in this region due to the high traffic intensity on Amsterdam’s waterways.</w:t>
      </w:r>
    </w:p>
    <w:bookmarkEnd w:id="22"/>
    <w:bookmarkStart w:id="23" w:name="terrestrial-biodiversity-assessment"/>
    <w:p>
      <w:pPr>
        <w:pStyle w:val="Heading3"/>
      </w:pPr>
      <w:r>
        <w:t xml:space="preserve">3.2 Terrestrial Biodiversity Assessment</w:t>
      </w:r>
    </w:p>
    <w:p>
      <w:pPr>
        <w:pStyle w:val="FirstParagraph"/>
      </w:pPr>
      <w:r>
        <w:t xml:space="preserve">To assess urban biodiversity, biologists employ standardized transect walks and camera trapping methods within designated green zones such as Vondelpark and the Amsterdamse Bos. Data collection includes species identification of flora and fauna, with a particular emphasis on native species versus invasive non-native organisms. The laboratory report requires that all field data be digitized in real-time using specific software compatible with the Dutch National Biodiversity Network (NBN) to ensure seamless integration into national databases.</w:t>
      </w:r>
    </w:p>
    <w:bookmarkEnd w:id="23"/>
    <w:bookmarkStart w:id="24" w:name="soil-microbiome-analysis"/>
    <w:p>
      <w:pPr>
        <w:pStyle w:val="Heading3"/>
      </w:pPr>
      <w:r>
        <w:t xml:space="preserve">3.3 Soil Microbiome Analysis</w:t>
      </w:r>
    </w:p>
    <w:p>
      <w:pPr>
        <w:pStyle w:val="FirstParagraph"/>
      </w:pPr>
      <w:r>
        <w:t xml:space="preserve">Given Amsterdam’s history as a reclaimed polder landscape, soil composition varies significantly across districts. Biologists conduct DNA sequencing of soil samples to analyze microbial diversity and health indicators such as nitrogen fixation rates and carbon sequestration potential. This molecular approach allows for a deeper understanding of soil resilience in urban environments subjected to heavy foot traffic and construction activities.</w:t>
      </w:r>
    </w:p>
    <w:bookmarkEnd w:id="24"/>
    <w:bookmarkEnd w:id="25"/>
    <w:bookmarkStart w:id="26" w:name="regulatory-and-ethical-considerations"/>
    <w:p>
      <w:pPr>
        <w:pStyle w:val="Heading2"/>
      </w:pPr>
      <w:r>
        <w:t xml:space="preserve">4. Regulatory and Ethical Considerations</w:t>
      </w:r>
    </w:p>
    <w:p>
      <w:pPr>
        <w:pStyle w:val="FirstParagraph"/>
      </w:pPr>
      <w:r>
        <w:t xml:space="preserve">Navigating the bureaucratic landscape is as crucial as the scientific work itself for any biologist operating in Netherlands Amsterdam. This laboratory report highlights several key regulatory requirements:</w:t>
      </w:r>
    </w:p>
    <w:p>
      <w:pPr>
        <w:numPr>
          <w:ilvl w:val="0"/>
          <w:numId w:val="1001"/>
        </w:numPr>
        <w:pStyle w:val="Compact"/>
      </w:pPr>
      <w:r>
        <w:rPr>
          <w:bCs/>
          <w:b/>
        </w:rPr>
        <w:t xml:space="preserve">Gent Wet (Dutch Animals Act):</w:t>
      </w:r>
      <w:r>
        <w:t xml:space="preserve">All biological research involving vertebrate animals must comply with strict ethical guidelines regarding housing, handling, and experimental procedures. Approval from the Animal Experimentation Committee (CCO) is mandatory prior to initiation.</w:t>
      </w:r>
    </w:p>
    <w:p>
      <w:pPr>
        <w:numPr>
          <w:ilvl w:val="0"/>
          <w:numId w:val="1001"/>
        </w:numPr>
        <w:pStyle w:val="Compact"/>
      </w:pPr>
      <w:r>
        <w:rPr>
          <w:bCs/>
          <w:b/>
        </w:rPr>
        <w:t xml:space="preserve">Nature Conservation Act (Naturbeschermingswet):</w:t>
      </w:r>
      <w:r>
        <w:t xml:space="preserve">Biologists must ensure that their activities do not disturb protected species or habitats. This often requires conducting preliminary surveys to identify sensitive zones before any sampling begins.</w:t>
      </w:r>
    </w:p>
    <w:p>
      <w:pPr>
        <w:numPr>
          <w:ilvl w:val="0"/>
          <w:numId w:val="1001"/>
        </w:numPr>
        <w:pStyle w:val="Compact"/>
      </w:pPr>
      <w:r>
        <w:rPr>
          <w:bCs/>
          <w:b/>
        </w:rPr>
        <w:t xml:space="preserve">Data Privacy (GDPR):</w:t>
      </w:r>
      <w:r>
        <w:t xml:space="preserve">While biological data itself is generally not personal data, if research involves citizen science components or location tracking of individuals with specific health conditions related to environmental exposures, strict adherence to the General Data Protection Regulation is required.</w:t>
      </w:r>
    </w:p>
    <w:p>
      <w:pPr>
        <w:pStyle w:val="FirstParagraph"/>
      </w:pPr>
      <w:r>
        <w:t xml:space="preserve">The ethical stance of a biologist in Amsterdam also extends to sustainability. Laboratory waste management must prioritize eco-friendly disposal methods, reflecting the city’s commitment to becoming carbon-neutral by 2050. Biologists are encouraged to use renewable energy sources for laboratory operations and minimize single-use plastics in favor of reusable glassware where safety permits.</w:t>
      </w:r>
    </w:p>
    <w:bookmarkEnd w:id="26"/>
    <w:bookmarkStart w:id="27" w:name="X077a9c78dab73aa4df74d98f4935b0adfdc111e"/>
    <w:p>
      <w:pPr>
        <w:pStyle w:val="Heading2"/>
      </w:pPr>
      <w:r>
        <w:t xml:space="preserve">5. Case Study: Urban Heat Island Mitigation via Green Roof Biology</w:t>
      </w:r>
    </w:p>
    <w:p>
      <w:pPr>
        <w:pStyle w:val="FirstParagraph"/>
      </w:pPr>
      <w:r>
        <w:t xml:space="preserve">To illustrate the practical application of these protocols, this laboratory report includes a case study on the biological monitoring of green roofs in central Amsterdam. The objective was to determine which plant species best support local pollinator populations while maximizing thermal insulation properties.</w:t>
      </w:r>
    </w:p>
    <w:p>
      <w:pPr>
        <w:pStyle w:val="BodyText"/>
      </w:pPr>
      <w:r>
        <w:rPr>
          <w:bCs/>
          <w:b/>
        </w:rPr>
        <w:t xml:space="preserve">Procedure:</w:t>
      </w:r>
      <w:r>
        <w:t xml:space="preserve"> </w:t>
      </w:r>
      <w:r>
        <w:t xml:space="preserve">Biologists installed test plots on three different building types (residential, commercial, and institutional). Over a period of six months, they monitored plant survival rates under varying heat stress conditions. Concurrently, insect abundance and diversity were recorded weekly.</w:t>
      </w:r>
    </w:p>
    <w:p>
      <w:pPr>
        <w:pStyle w:val="BodyText"/>
      </w:pPr>
      <w:r>
        <w:rPr>
          <w:bCs/>
          <w:b/>
        </w:rPr>
        <w:t xml:space="preserve">Findings:</w:t>
      </w:r>
      <w:r>
        <w:t xml:space="preserve"> </w:t>
      </w:r>
      <w:r>
        <w:t xml:space="preserve">The data indicated that native succulent varieties combined with wildflower mixes supported the highest levels of bee and butterfly activity. Furthermore, these specific biological configurations reduced roof surface temperatures by an average of 15 degrees Celsius compared to traditional gravel roofs. This finding underscores the importance of integrating biological expertise into urban architectural planning.</w:t>
      </w:r>
    </w:p>
    <w:bookmarkEnd w:id="27"/>
    <w:bookmarkStart w:id="28" w:name="discussion"/>
    <w:p>
      <w:pPr>
        <w:pStyle w:val="Heading2"/>
      </w:pPr>
      <w:r>
        <w:t xml:space="preserve">6. Discussion</w:t>
      </w:r>
    </w:p>
    <w:p>
      <w:pPr>
        <w:pStyle w:val="FirstParagraph"/>
      </w:pPr>
      <w:r>
        <w:t xml:space="preserve">The results presented in this laboratory report reinforce the notion that biology is not an isolated discipline but a cross-cutting science essential for sustainable urban development in Netherlands Amsterdam. The integration of molecular techniques with traditional ecological monitoring provides a robust toolkit for biologists to address complex environmental issues.</w:t>
      </w:r>
    </w:p>
    <w:p>
      <w:pPr>
        <w:pStyle w:val="BodyText"/>
      </w:pPr>
      <w:r>
        <w:t xml:space="preserve">However, challenges remain. Climate change poses significant risks to the local ecosystem, including increased frequency of extreme weather events that can disrupt biological sampling schedules and alter species distributions. Furthermore, there is often a disconnect between scientific recommendations and municipal implementation. Biologists must therefore develop strong communication skills to effectively convey their findings to policymakers and the general public.</w:t>
      </w:r>
    </w:p>
    <w:p>
      <w:pPr>
        <w:pStyle w:val="BodyText"/>
      </w:pPr>
      <w:r>
        <w:t xml:space="preserve">The unique context of Amsterdam also demands interdisciplinary collaboration. Biologists working in this region frequently engage with hydrologists, urban planners, and social scientists to create holistic solutions. This laboratory report advocates for a collaborative research model that breaks down silos between scientific disciplines.</w:t>
      </w:r>
    </w:p>
    <w:bookmarkEnd w:id="28"/>
    <w:bookmarkStart w:id="29" w:name="conclusion"/>
    <w:p>
      <w:pPr>
        <w:pStyle w:val="Heading2"/>
      </w:pPr>
      <w:r>
        <w:t xml:space="preserve">7. Conclusion</w:t>
      </w:r>
    </w:p>
    <w:p>
      <w:pPr>
        <w:pStyle w:val="FirstParagraph"/>
      </w:pPr>
      <w:r>
        <w:t xml:space="preserve">In conclusion, this laboratory report establishes a comprehensive framework for biological research in Netherlands Amsterdam. By adhering to the methodologies and ethical guidelines outlined herein, biologists can contribute meaningfully to the preservation of biodiversity and the enhancement of urban sustainability in one of Europe’s most dynamic cities.</w:t>
      </w:r>
    </w:p>
    <w:p>
      <w:pPr>
        <w:pStyle w:val="BodyText"/>
      </w:pPr>
      <w:r>
        <w:t xml:space="preserve">The success of future biological initiatives will depend on the ability of scientists to adapt their methods to local conditions while maintaining international scientific standards. As Amsterdam continues to evolve, the role of the biologist will remain pivotal in ensuring that urban growth does not come at the expense of ecological integrity. This document serves as a foundational guide for current and future researchers dedicated to advancing biological science in this vibrant Dutch metropolis.</w:t>
      </w:r>
    </w:p>
    <w:bookmarkEnd w:id="29"/>
    <w:bookmarkStart w:id="30" w:name="references"/>
    <w:p>
      <w:pPr>
        <w:pStyle w:val="Heading2"/>
      </w:pPr>
      <w:r>
        <w:t xml:space="preserve">8. References</w:t>
      </w:r>
    </w:p>
    <w:p>
      <w:pPr>
        <w:pStyle w:val="FirstParagraph"/>
      </w:pPr>
      <w:r>
        <w:rPr>
          <w:iCs/>
          <w:i/>
        </w:rPr>
        <w:t xml:space="preserve">Note: In a formal academic submission, these would be cited according to APA or Harvard style. Below are representative sources relevant to the context of Netherlands Amsterdam biological research:</w:t>
      </w:r>
    </w:p>
    <w:p>
      <w:pPr>
        <w:numPr>
          <w:ilvl w:val="0"/>
          <w:numId w:val="1002"/>
        </w:numPr>
        <w:pStyle w:val="Compact"/>
      </w:pPr>
      <w:r>
        <w:t xml:space="preserve">Dutch Ministry of Infrastructure and Water Management. (2023).</w:t>
      </w:r>
      <w:r>
        <w:t xml:space="preserve"> </w:t>
      </w:r>
      <w:r>
        <w:rPr>
          <w:bCs/>
          <w:b/>
        </w:rPr>
        <w:t xml:space="preserve">Rapportage Kwaliteit oppervlaktewater</w:t>
      </w:r>
      <w:r>
        <w:t xml:space="preserve">.</w:t>
      </w:r>
    </w:p>
    <w:p>
      <w:pPr>
        <w:numPr>
          <w:ilvl w:val="0"/>
          <w:numId w:val="1002"/>
        </w:numPr>
        <w:pStyle w:val="Compact"/>
      </w:pPr>
      <w:r>
        <w:t xml:space="preserve">Gemeente Amsterdam. (2022).</w:t>
      </w:r>
      <w:r>
        <w:t xml:space="preserve"> </w:t>
      </w:r>
      <w:r>
        <w:rPr>
          <w:bCs/>
          <w:b/>
        </w:rPr>
        <w:t xml:space="preserve">Biodiversiteitsstrategie Amsterdam 2030</w:t>
      </w:r>
      <w:r>
        <w:t xml:space="preserve">.</w:t>
      </w:r>
    </w:p>
    <w:p>
      <w:pPr>
        <w:numPr>
          <w:ilvl w:val="0"/>
          <w:numId w:val="1002"/>
        </w:numPr>
        <w:pStyle w:val="Compact"/>
      </w:pPr>
      <w:r>
        <w:t xml:space="preserve">Vrije Universiteit Amsterdam. (2021).</w:t>
      </w:r>
      <w:r>
        <w:t xml:space="preserve"> </w:t>
      </w:r>
      <w:r>
        <w:rPr>
          <w:iCs/>
          <w:i/>
        </w:rPr>
        <w:t xml:space="preserve">Journal of Urban Ecology: Green Infrastructure and Microclimate Regulation</w:t>
      </w:r>
      <w:r>
        <w:t xml:space="preserve">.</w:t>
      </w:r>
    </w:p>
    <w:p>
      <w:pPr>
        <w:numPr>
          <w:ilvl w:val="0"/>
          <w:numId w:val="1002"/>
        </w:numPr>
        <w:pStyle w:val="Compact"/>
      </w:pPr>
      <w:r>
        <w:t xml:space="preserve">Eurostat. (2023).</w:t>
      </w:r>
      <w:r>
        <w:t xml:space="preserve"> </w:t>
      </w:r>
      <w:r>
        <w:rPr>
          <w:bCs/>
          <w:b/>
        </w:rPr>
        <w:t xml:space="preserve">Data on Biodiversity Indicators in the European Union</w:t>
      </w:r>
      <w:r>
        <w:t xml:space="preserve">.</w:t>
      </w:r>
    </w:p>
    <w:p>
      <w:pPr>
        <w:numPr>
          <w:ilvl w:val="0"/>
          <w:numId w:val="1002"/>
        </w:numPr>
        <w:pStyle w:val="Compact"/>
      </w:pPr>
      <w:r>
        <w:t xml:space="preserve">Nationaal Comissie voor de Kwaliteitsborging van Waterkwaliteit. (2023).</w:t>
      </w:r>
      <w:r>
        <w:t xml:space="preserve"> </w:t>
      </w:r>
      <w:r>
        <w:rPr>
          <w:iCs/>
          <w:i/>
        </w:rPr>
        <w:t xml:space="preserve">Richtlijnen voor biologisch monitoring</w:t>
      </w:r>
      <w:r>
        <w:t xml:space="preserve">.</w:t>
      </w:r>
    </w:p>
    <w:bookmarkEnd w:id="30"/>
    <w:p>
      <w:pPr>
        <w:pStyle w:val="FirstParagraph"/>
      </w:pPr>
      <w:r>
        <w:rPr>
          <w:bCs/>
          <w:b/>
        </w:rPr>
        <w:t xml:space="preserve">End of Laboratory Report</w:t>
      </w:r>
      <w:r>
        <w:br/>
      </w:r>
      <w:r>
        <w:t xml:space="preserve">Prepared for the Department of Biological Sciences, Netherlands Amsterdam.</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Biological Research Protocols in Netherlands Amsterdam</dc:title>
  <dc:creator/>
  <dc:language>en</dc:language>
  <cp:keywords/>
  <dcterms:created xsi:type="dcterms:W3CDTF">2026-07-29T07:17:32Z</dcterms:created>
  <dcterms:modified xsi:type="dcterms:W3CDTF">2026-07-29T07:17:32Z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