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Assessment</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0" w:name="X83b17a36355cbf91c9fb276180e398813ed60b4"/>
    <w:p>
      <w:pPr>
        <w:pStyle w:val="Heading1"/>
      </w:pPr>
      <w:r>
        <w:t xml:space="preserve">Laboratory Report: Biological Field Assessment</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Turkey, Ankara Province (Central Anatolian Region)</w:t>
      </w:r>
    </w:p>
    <w:p>
      <w:pPr>
        <w:pStyle w:val="BodyText"/>
      </w:pPr>
      <w:r>
        <w:rPr>
          <w:bCs/>
          <w:b/>
        </w:rPr>
        <w:t xml:space="preserve">Purpose of Report:</w:t>
      </w:r>
    </w:p>
    <w:p>
      <w:pPr>
        <w:pStyle w:val="BodyText"/>
      </w:pPr>
      <w:r>
        <w:t xml:space="preserve">The purpose of this comprehensive laboratory and field report is to document the biological findings derived from recent ecological surveys conducted in the vicinity of Ankara. The primary objective was to assess local biodiversity indices, monitor specific flora populations sensitive to urban expansion, and evaluate soil health metrics that influence plant growth in semi-arid conditions typical of central Turkey. This report serves as a critical reference for environmental policy makers in Ankara who are striving to balance rapid development with ecological preservation.</w:t>
      </w:r>
    </w:p>
    <w:bookmarkEnd w:id="20"/>
    <w:bookmarkStart w:id="21" w:name="introduction"/>
    <w:p>
      <w:pPr>
        <w:pStyle w:val="Heading2"/>
      </w:pPr>
      <w:r>
        <w:t xml:space="preserve">1. Introduction</w:t>
      </w:r>
    </w:p>
    <w:p>
      <w:pPr>
        <w:pStyle w:val="FirstParagraph"/>
      </w:pPr>
      <w:r>
        <w:t xml:space="preserve">Ankara, the capital city of Turkey, is situated in a unique geographical region characterized by a continental climate. The area presents distinct biological challenges and opportunities for researchers focusing on xerophytic (drought-resistant) plant species and their interactions with urban infrastructure. As Ankara continues to expand its metropolitan boundaries into surrounding rural lands, understanding the baseline biological data becomes imperative.</w:t>
      </w:r>
    </w:p>
    <w:p>
      <w:pPr>
        <w:pStyle w:val="BodyText"/>
      </w:pPr>
      <w:r>
        <w:t xml:space="preserve">The role of a</w:t>
      </w:r>
      <w:r>
        <w:t xml:space="preserve"> </w:t>
      </w:r>
      <w:r>
        <w:rPr>
          <w:bCs/>
          <w:b/>
        </w:rPr>
        <w:t xml:space="preserve">biologist</w:t>
      </w:r>
      <w:r>
        <w:t xml:space="preserve"> </w:t>
      </w:r>
      <w:r>
        <w:t xml:space="preserve">in this context extends beyond mere observation; it involves active participation in conservation strategies and environmental impact assessments. This lab report details the methodologies employed by our biological team during fieldwork conducted in the Çankaya and Keçiören districts, as well as control sites in rural Ankara.</w:t>
      </w:r>
    </w:p>
    <w:bookmarkEnd w:id="21"/>
    <w:bookmarkStart w:id="22" w:name="methodology"/>
    <w:p>
      <w:pPr>
        <w:pStyle w:val="Heading2"/>
      </w:pPr>
      <w:r>
        <w:t xml:space="preserve">2. Methodology</w:t>
      </w:r>
    </w:p>
    <w:p>
      <w:pPr>
        <w:pStyle w:val="FirstParagraph"/>
      </w:pPr>
      <w:r>
        <w:t xml:space="preserve">The study utilized a combination of quadrat sampling, soil nutrient analysis, and photographic documentation of key species. The following steps were undertaken to ensure scientific rigor:</w:t>
      </w:r>
    </w:p>
    <w:p>
      <w:pPr>
        <w:numPr>
          <w:ilvl w:val="0"/>
          <w:numId w:val="1001"/>
        </w:numPr>
        <w:pStyle w:val="Compact"/>
      </w:pPr>
      <w:r>
        <w:rPr>
          <w:bCs/>
          <w:b/>
        </w:rPr>
        <w:t xml:space="preserve">Sampling Sites Selection:</w:t>
      </w:r>
      <w:r>
        <w:t xml:space="preserve"> </w:t>
      </w:r>
      <w:r>
        <w:t xml:space="preserve">Five distinct sites were chosen within Ankara to represent varying levels of urbanization and natural vegetation cover.</w:t>
      </w:r>
    </w:p>
    <w:p>
      <w:pPr>
        <w:numPr>
          <w:ilvl w:val="0"/>
          <w:numId w:val="1001"/>
        </w:numPr>
        <w:pStyle w:val="Compact"/>
      </w:pPr>
      <w:r>
        <w:rPr>
          <w:bCs/>
          <w:b/>
        </w:rPr>
        <w:t xml:space="preserve">Data Collection:</w:t>
      </w:r>
      <w:r>
        <w:t xml:space="preserve"> </w:t>
      </w:r>
      <w:r>
        <w:t xml:space="preserve">Biologists collected soil samples at a depth of 15 cm from each site. Vegetation coverage was calculated using the point-intercept method within 1m x 1m quadrats.</w:t>
      </w:r>
    </w:p>
    <w:p>
      <w:pPr>
        <w:numPr>
          <w:ilvl w:val="0"/>
          <w:numId w:val="1001"/>
        </w:numPr>
        <w:pStyle w:val="Compact"/>
      </w:pPr>
      <w:r>
        <w:rPr>
          <w:bCs/>
          <w:b/>
        </w:rPr>
        <w:t xml:space="preserve">Laboratory Analysis:</w:t>
      </w:r>
      <w:r>
        <w:t xml:space="preserve"> </w:t>
      </w:r>
      <w:r>
        <w:t xml:space="preserve">Soil samples were transported to the Ankara University Biology Laboratory for pH, nitrogen, phosphorus, and potassium analysis.</w:t>
      </w:r>
    </w:p>
    <w:bookmarkEnd w:id="22"/>
    <w:bookmarkStart w:id="23" w:name="results"/>
    <w:p>
      <w:pPr>
        <w:pStyle w:val="Heading2"/>
      </w:pPr>
      <w:r>
        <w:t xml:space="preserve">3. Results</w:t>
      </w:r>
    </w:p>
    <w:p>
      <w:pPr>
        <w:pStyle w:val="FirstParagraph"/>
      </w:pPr>
      <w:r>
        <w:t xml:space="preserve">The data collected reveals significant variations in biological health across the selected sites in Turkey's capital. The results are summarized below.</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Site ID</w:t>
            </w:r>
          </w:p>
        </w:tc>
        <w:tc>
          <w:tcPr/>
          <w:p>
            <w:pPr>
              <w:pStyle w:val="Compact"/>
              <w:jc w:val="left"/>
            </w:pPr>
            <w:r>
              <w:t xml:space="preserve">Dominant Flora</w:t>
            </w:r>
          </w:p>
        </w:tc>
        <w:tc>
          <w:tcPr/>
          <w:p>
            <w:pPr>
              <w:pStyle w:val="Compact"/>
              <w:jc w:val="left"/>
            </w:pPr>
            <w:r>
              <w:t xml:space="preserve">Soil pH Level</w:t>
            </w:r>
          </w:p>
        </w:tc>
        <w:tc>
          <w:tcPr/>
          <w:p>
            <w:pPr>
              <w:pStyle w:val="Compact"/>
              <w:jc w:val="left"/>
            </w:pPr>
            <w:r>
              <w:t xml:space="preserve">Biodiversity Index</w:t>
            </w:r>
          </w:p>
        </w:tc>
      </w:tr>
      <w:tr>
        <w:tc>
          <w:tcPr/>
          <w:p>
            <w:pPr>
              <w:pStyle w:val="Compact"/>
              <w:jc w:val="left"/>
            </w:pPr>
            <w:r>
              <w:t xml:space="preserve">A-01 (Urban Park)</w:t>
            </w:r>
          </w:p>
        </w:tc>
        <w:tc>
          <w:tcPr/>
          <w:p>
            <w:pPr>
              <w:pStyle w:val="Compact"/>
              <w:jc w:val="left"/>
            </w:pPr>
            <w:r>
              <w:t xml:space="preserve">Cerastium arvense, Taraxacum officinale</w:t>
            </w:r>
          </w:p>
        </w:tc>
        <w:tc>
          <w:tcPr/>
          <w:p>
            <w:pPr>
              <w:pStyle w:val="Compact"/>
              <w:jc w:val="left"/>
            </w:pPr>
            <w:r>
              <w:t xml:space="preserve">7.8</w:t>
            </w:r>
          </w:p>
        </w:tc>
        <w:tc>
          <w:tcPr/>
          <w:p>
            <w:pPr>
              <w:pStyle w:val="Compact"/>
              <w:jc w:val="left"/>
            </w:pPr>
            <w:r>
              <w:t xml:space="preserve">Low (1.2)</w:t>
            </w:r>
          </w:p>
        </w:tc>
      </w:tr>
      <w:tr>
        <w:tc>
          <w:tcPr/>
          <w:p>
            <w:pPr>
              <w:pStyle w:val="Compact"/>
              <w:jc w:val="left"/>
            </w:pPr>
            <w:r>
              <w:t xml:space="preserve">A-02 (Rural Edge)</w:t>
            </w:r>
          </w:p>
        </w:tc>
        <w:tc>
          <w:tcPr/>
          <w:p>
            <w:pPr>
              <w:pStyle w:val="Compact"/>
              <w:jc w:val="left"/>
            </w:pPr>
            <w:r>
              <w:t xml:space="preserve">Quercus cerris, Pistacia terebinthus</w:t>
            </w:r>
          </w:p>
        </w:tc>
        <w:tc>
          <w:tcPr/>
          <w:p>
            <w:pPr>
              <w:pStyle w:val="Compact"/>
              <w:jc w:val="left"/>
            </w:pPr>
            <w:r>
              <w:t xml:space="preserve">6.5</w:t>
            </w:r>
          </w:p>
        </w:tc>
        <w:tc>
          <w:tcPr/>
          <w:p>
            <w:pPr>
              <w:pStyle w:val="Compact"/>
              <w:jc w:val="left"/>
            </w:pPr>
            <w:r>
              <w:t xml:space="preserve">High (3.4)</w:t>
            </w:r>
          </w:p>
        </w:tc>
      </w:tr>
      <w:tr>
        <w:tc>
          <w:tcPr/>
          <w:p>
            <w:pPr>
              <w:pStyle w:val="Compact"/>
              <w:jc w:val="left"/>
            </w:pPr>
            <w:r>
              <w:t xml:space="preserve">A-02 (Rural Edge)</w:t>
            </w:r>
          </w:p>
        </w:tc>
        <w:tc>
          <w:tcPr/>
          <w:p>
            <w:pPr>
              <w:pStyle w:val="Compact"/>
              <w:jc w:val="left"/>
            </w:pPr>
            <w:r>
              <w:t xml:space="preserve">Quercus cerris, Pistacia terebinthus</w:t>
            </w:r>
          </w:p>
        </w:tc>
        <w:tc>
          <w:tcPr/>
          <w:p>
            <w:pPr>
              <w:pStyle w:val="Compact"/>
              <w:jc w:val="left"/>
            </w:pPr>
            <w:r>
              <w:t xml:space="preserve">6.5</w:t>
            </w:r>
          </w:p>
        </w:tc>
        <w:tc>
          <w:tcPr/>
          <w:p>
            <w:pPr>
              <w:pStyle w:val="Compact"/>
              <w:jc w:val="left"/>
            </w:pPr>
            <w:r>
              <w:t xml:space="preserve">High (3.4)</w:t>
            </w:r>
          </w:p>
        </w:tc>
      </w:tr>
    </w:tbl>
    <w:p>
      <w:pPr>
        <w:pStyle w:val="BodyText"/>
      </w:pPr>
      <w:r>
        <w:t xml:space="preserve">As illustrated in the table above, Site A-02 exhibits a significantly higher biodiversity index compared to the urbanized Site A-01. This disparity underscores the impact of human activity on native Turkish flora.</w:t>
      </w:r>
    </w:p>
    <w:bookmarkEnd w:id="23"/>
    <w:bookmarkStart w:id="24" w:name="discussion"/>
    <w:p>
      <w:pPr>
        <w:pStyle w:val="Heading2"/>
      </w:pPr>
      <w:r>
        <w:t xml:space="preserve">4. Discussion</w:t>
      </w:r>
    </w:p>
    <w:p>
      <w:pPr>
        <w:pStyle w:val="FirstParagraph"/>
      </w:pPr>
      <w:r>
        <w:t xml:space="preserve">The findings highlight a critical need for biological monitoring in Ankara. The presence of invasive species in urban parks, such as the widespread *Taraxacum officinale*, suggests that maintenance practices may inadvertently favor non-native plants over indigenous ones. In contrast, the rural edge sites retain native oak and terebinth trees, which are vital for local ecosystem stability.</w:t>
      </w:r>
    </w:p>
    <w:p>
      <w:pPr>
        <w:pStyle w:val="BodyText"/>
      </w:pPr>
      <w:r>
        <w:t xml:space="preserve">For a</w:t>
      </w:r>
      <w:r>
        <w:t xml:space="preserve"> </w:t>
      </w:r>
      <w:r>
        <w:rPr>
          <w:bCs/>
          <w:b/>
        </w:rPr>
        <w:t xml:space="preserve">biologist</w:t>
      </w:r>
      <w:r>
        <w:t xml:space="preserve">, these results are not just data points but indicators of ecological health. The soil pH levels in urban areas tend to be more alkaline, likely due to construction materials and reduced organic matter decomposition rates. This chemical profile affects nutrient availability for plants.</w:t>
      </w:r>
    </w:p>
    <w:bookmarkEnd w:id="24"/>
    <w:bookmarkStart w:id="25" w:name="conclusion"/>
    <w:p>
      <w:pPr>
        <w:pStyle w:val="Heading2"/>
      </w:pPr>
      <w:r>
        <w:t xml:space="preserve">5. Conclusion</w:t>
      </w:r>
    </w:p>
    <w:p>
      <w:pPr>
        <w:pStyle w:val="FirstParagraph"/>
      </w:pPr>
      <w:r>
        <w:t xml:space="preserve">In conclusion, this lab report provides a snapshot of the biological landscape in Ankara, Turkey. The data confirms that urbanization poses a threat to native biodiversity. It is recommended that local authorities implement green corridors and utilize native plant species in landscaping projects to mitigate these effects.</w:t>
      </w:r>
    </w:p>
    <w:bookmarkEnd w:id="25"/>
    <w:bookmarkStart w:id="26" w:name="recommendations"/>
    <w:p>
      <w:pPr>
        <w:pStyle w:val="Heading2"/>
      </w:pPr>
      <w:r>
        <w:t xml:space="preserve">6. Recommendations</w:t>
      </w:r>
    </w:p>
    <w:p>
      <w:pPr>
        <w:numPr>
          <w:ilvl w:val="0"/>
          <w:numId w:val="1002"/>
        </w:numPr>
        <w:pStyle w:val="Compact"/>
      </w:pPr>
      <w:r>
        <w:t xml:space="preserve">Conduct annual biological surveys to monitor changes in biodiversity indices.</w:t>
      </w:r>
    </w:p>
    <w:p>
      <w:pPr>
        <w:numPr>
          <w:ilvl w:val="0"/>
          <w:numId w:val="1002"/>
        </w:numPr>
        <w:pStyle w:val="Compact"/>
      </w:pPr>
      <w:r>
        <w:t xml:space="preserve">Promote the use of drought-resistant native species in public landscaping across Ankara.</w:t>
      </w:r>
    </w:p>
    <w:p>
      <w:pPr>
        <w:numPr>
          <w:ilvl w:val="0"/>
          <w:numId w:val="1002"/>
        </w:numPr>
        <w:pStyle w:val="Compact"/>
      </w:pPr>
      <w:r>
        <w:t xml:space="preserve">Engage local biologists and university researchers to participate in environmental education programs for residents.</w:t>
      </w:r>
    </w:p>
    <w:p>
      <w:pPr>
        <w:pStyle w:val="FirstParagraph"/>
      </w:pPr>
      <w:r>
        <w:rPr>
          <w:bCs/>
          <w:b/>
        </w:rPr>
        <w:t xml:space="preserve">Prepared by:</w:t>
      </w:r>
    </w:p>
    <w:p>
      <w:pPr>
        <w:pStyle w:val="BodyText"/>
      </w:pPr>
      <w:r>
        <w:t xml:space="preserve">Jane Doe</w:t>
      </w:r>
    </w:p>
    <w:p>
      <w:pPr>
        <w:pStyle w:val="BodyText"/>
      </w:pPr>
      <w:r>
        <w:rPr>
          <w:bCs/>
          <w:b/>
        </w:rPr>
        <w:t xml:space="preserve">Title:</w:t>
      </w:r>
      <w:r>
        <w:t xml:space="preserve"> </w:t>
      </w:r>
      <w:r>
        <w:t xml:space="preserve">Senior Biologist</w:t>
      </w:r>
    </w:p>
    <w:p>
      <w:pPr>
        <w:pStyle w:val="BodyText"/>
      </w:pPr>
      <w:r>
        <w:rPr>
          <w:bCs/>
          <w:b/>
        </w:rPr>
        <w:t xml:space="preserve">Institution:</w:t>
      </w:r>
      <w:r>
        <w:t xml:space="preserve"> </w:t>
      </w:r>
      <w:r>
        <w:t xml:space="preserve">Ankara Environmental Research Center, Turkey</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Assessment in Turkey, Ankara</dc:title>
  <dc:creator/>
  <dc:language>en</dc:language>
  <cp:keywords/>
  <dcterms:created xsi:type="dcterms:W3CDTF">2026-07-29T02:48:02Z</dcterms:created>
  <dcterms:modified xsi:type="dcterms:W3CDTF">2026-07-29T02:48:02Z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