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Environmental</w:t>
      </w:r>
      <w:r>
        <w:t xml:space="preserve"> </w:t>
      </w:r>
      <w:r>
        <w:t xml:space="preserve">Impact</w:t>
      </w:r>
      <w:r>
        <w:t xml:space="preserve"> </w:t>
      </w:r>
      <w:r>
        <w:t xml:space="preserve">Assessment</w:t>
      </w:r>
    </w:p>
    <w:bookmarkStart w:id="20" w:name="laboratory-report-document"/>
    <w:p>
      <w:pPr>
        <w:pStyle w:val="Heading1"/>
      </w:pPr>
      <w:r>
        <w:t xml:space="preserve">Laboratory Report Document</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Southern California Environmental Research Institute</w:t>
      </w:r>
    </w:p>
    <w:p>
      <w:pPr>
        <w:pStyle w:val="BodyText"/>
      </w:pPr>
      <w:r>
        <w:rPr>
          <w:bCs/>
          <w:b/>
        </w:rPr>
        <w:t xml:space="preserve">Contact Location:</w:t>
      </w:r>
      <w:r>
        <w:t xml:space="preserve"> </w:t>
      </w:r>
      <w:r>
        <w:t xml:space="preserve">United States Los Angeles, CA 90012</w:t>
      </w:r>
    </w:p>
    <w:p>
      <w:r>
        <w:pict>
          <v:rect style="width:0;height:1.5pt" o:hralign="center" o:hrstd="t" o:hr="t"/>
        </w:pict>
      </w:r>
    </w:p>
    <w:bookmarkEnd w:id="20"/>
    <w:bookmarkStart w:id="21" w:name="Xa8bcbc7e601fd55c5b7efe3752ab986e99b73b9"/>
    <w:p>
      <w:pPr>
        <w:pStyle w:val="Heading2"/>
      </w:pPr>
      <w:r>
        <w:t xml:space="preserve">Title: Comprehensive Biological Survey and Ecological Baseline Assessment of the Santa Monica Basin Watershed</w:t>
      </w:r>
    </w:p>
    <w:p>
      <w:pPr>
        <w:pStyle w:val="FirstParagraph"/>
      </w:pPr>
      <w:r>
        <w:rPr>
          <w:bCs/>
          <w:b/>
        </w:rPr>
        <w:t xml:space="preserve">Principal Investigator:</w:t>
      </w:r>
      <w:r>
        <w:t xml:space="preserve"> </w:t>
      </w:r>
      <w:r>
        <w:t xml:space="preserve">Dr. Elena Rostova, Senior Biologist</w:t>
      </w:r>
    </w:p>
    <w:p>
      <w:pPr>
        <w:pStyle w:val="BodyText"/>
      </w:pPr>
      <w:r>
        <w:rPr>
          <w:bCs/>
          <w:b/>
        </w:rPr>
        <w:t xml:space="preserve">Coinvestigators:</w:t>
      </w:r>
      <w:r>
        <w:t xml:space="preserve"> </w:t>
      </w:r>
      <w:r>
        <w:t xml:space="preserve">Dr. Marcus Thorne (Marine Ecology), Sarah Jenkins (Toxicology)</w:t>
      </w:r>
    </w:p>
    <w:bookmarkEnd w:id="21"/>
    <w:bookmarkStart w:id="22" w:name="i.-abstract"/>
    <w:p>
      <w:pPr>
        <w:pStyle w:val="Heading2"/>
      </w:pPr>
      <w:r>
        <w:t xml:space="preserve">I. Abstract</w:t>
      </w:r>
    </w:p>
    <w:p>
      <w:pPr>
        <w:pStyle w:val="FirstParagraph"/>
      </w:pPr>
      <w:r>
        <w:t xml:space="preserve">This laboratory report outlines the findings of a comprehensive biological survey conducted to assess the current ecological health of the Santa Monica Basin watershed, a critical component of the biodiversity framework within Los Angeles. The primary objective was to quantify species diversity, analyze water quality parameters in relation to biological indicators, and determine the impact of urban runoff on local marine ecosystems. As an expanding metropolis located in the heart of</w:t>
      </w:r>
      <w:r>
        <w:t xml:space="preserve"> </w:t>
      </w:r>
      <w:r>
        <w:rPr>
          <w:bCs/>
          <w:b/>
        </w:rPr>
        <w:t xml:space="preserve">United States Los Angeles</w:t>
      </w:r>
      <w:r>
        <w:t xml:space="preserve">, the region faces unique challenges regarding habitat fragmentation and pollution control. The data collected herein provides a baseline for future conservation efforts and regulatory compliance under state environmental mandates. The results indicate that while overall biodiversity remains stable, specific bio-indicator species show signs of physiological stress due to microplastic contamination, necessitating immediate intervention strategies by local authorities.</w:t>
      </w:r>
    </w:p>
    <w:bookmarkEnd w:id="22"/>
    <w:bookmarkStart w:id="25" w:name="ii.-introduction"/>
    <w:p>
      <w:pPr>
        <w:pStyle w:val="Heading2"/>
      </w:pPr>
      <w:r>
        <w:t xml:space="preserve">II. Introduction</w:t>
      </w:r>
    </w:p>
    <w:p>
      <w:pPr>
        <w:pStyle w:val="FirstParagraph"/>
      </w:pPr>
      <w:r>
        <w:t xml:space="preserve">The role of a professional Biologist extends beyond simple observation; it involves rigorous data collection, analysis, and the synthesis of complex ecological relationships to inform policy and conservation. In the context of Los Angeles, a city situated in the Western United States known for its Mediterranean climate and dense urbanization, understanding the intersection between human activity and natural systems is paramount. This study focuses on three key areas: benthic macroinvertebrate populations, phytoplankton bloom dynamics, and coastal vegetation resilience.</w:t>
      </w:r>
    </w:p>
    <w:bookmarkStart w:id="23" w:name="problem-statement"/>
    <w:p>
      <w:pPr>
        <w:pStyle w:val="Heading3"/>
      </w:pPr>
      <w:r>
        <w:t xml:space="preserve">2.1 Problem Statement</w:t>
      </w:r>
    </w:p>
    <w:p>
      <w:pPr>
        <w:pStyle w:val="FirstParagraph"/>
      </w:pPr>
      <w:r>
        <w:t xml:space="preserve">Rapid urbanization in</w:t>
      </w:r>
      <w:r>
        <w:t xml:space="preserve"> </w:t>
      </w:r>
      <w:r>
        <w:rPr>
          <w:bCs/>
          <w:b/>
        </w:rPr>
        <w:t xml:space="preserve">United States Los Angeles</w:t>
      </w:r>
      <w:r>
        <w:t xml:space="preserve"> </w:t>
      </w:r>
      <w:r>
        <w:t xml:space="preserve">has led to increased impervious surfaces, resulting in higher volumes of stormwater runoff carrying pollutants into the marine environment. This study aims to determine the extent to which these anthropogenic factors affect local biological communities. By establishing a robust scientific narrative, this report seeks to provide actionable data for municipal planning and environmental protection agencies.</w:t>
      </w:r>
    </w:p>
    <w:bookmarkEnd w:id="23"/>
    <w:bookmarkStart w:id="24" w:name="objectives"/>
    <w:p>
      <w:pPr>
        <w:pStyle w:val="Heading3"/>
      </w:pPr>
      <w:r>
        <w:t xml:space="preserve">2.2 Objectives</w:t>
      </w:r>
    </w:p>
    <w:p>
      <w:pPr>
        <w:numPr>
          <w:ilvl w:val="0"/>
          <w:numId w:val="1001"/>
        </w:numPr>
        <w:pStyle w:val="Compact"/>
      </w:pPr>
      <w:r>
        <w:t xml:space="preserve">To identify and catalog dominant benthic species in the target sampling zones.</w:t>
      </w:r>
    </w:p>
    <w:p>
      <w:pPr>
        <w:numPr>
          <w:ilvl w:val="0"/>
          <w:numId w:val="1001"/>
        </w:numPr>
        <w:pStyle w:val="Compact"/>
      </w:pPr>
      <w:r>
        <w:t xml:space="preserve">To correlate heavy metal concentrations in sediment with biological health markers.</w:t>
      </w:r>
    </w:p>
    <w:p>
      <w:pPr>
        <w:numPr>
          <w:ilvl w:val="0"/>
          <w:numId w:val="1001"/>
        </w:numPr>
        <w:pStyle w:val="Compact"/>
      </w:pPr>
      <w:r>
        <w:t xml:space="preserve">To evaluate the effectiveness of current green infrastructure projects in mitigating runoff impacts.</w:t>
      </w:r>
    </w:p>
    <w:bookmarkEnd w:id="24"/>
    <w:bookmarkEnd w:id="25"/>
    <w:bookmarkStart w:id="29" w:name="iii.-methodology"/>
    <w:p>
      <w:pPr>
        <w:pStyle w:val="Heading2"/>
      </w:pPr>
      <w:r>
        <w:t xml:space="preserve">III. Methodology</w:t>
      </w:r>
    </w:p>
    <w:p>
      <w:pPr>
        <w:pStyle w:val="FirstParagraph"/>
      </w:pPr>
      <w:r>
        <w:t xml:space="preserve">The experimental design employed a stratified random sampling technique to ensure statistical validity across different habitat types. Fieldwork was conducted over a six-week period, coordinated closely with the laboratory analysis phase.</w:t>
      </w:r>
    </w:p>
    <w:bookmarkStart w:id="26" w:name="site-selection"/>
    <w:p>
      <w:pPr>
        <w:pStyle w:val="Heading3"/>
      </w:pPr>
      <w:r>
        <w:t xml:space="preserve">3.1 Site Selection</w:t>
      </w:r>
    </w:p>
    <w:p>
      <w:pPr>
        <w:pStyle w:val="FirstParagraph"/>
      </w:pPr>
      <w:r>
        <w:t xml:space="preserve">Sampling sites were selected along the coastline of Los Angeles County, specifically focusing on areas adjacent to major drainage outlets and protected marine reserves. This geographic distribution allows for a comparative analysis between high-traffic urban zones and conservation areas.</w:t>
      </w:r>
    </w:p>
    <w:bookmarkEnd w:id="26"/>
    <w:bookmarkStart w:id="27" w:name="data-collection"/>
    <w:p>
      <w:pPr>
        <w:pStyle w:val="Heading3"/>
      </w:pPr>
      <w:r>
        <w:t xml:space="preserve">3.2 Data Collection</w:t>
      </w:r>
    </w:p>
    <w:p>
      <w:pPr>
        <w:pStyle w:val="FirstParagraph"/>
      </w:pPr>
      <w:r>
        <w:t xml:space="preserve">Benthic samples were collected using Van Veen grab samplers at depths ranging from 5 to 20 meters. Water column samples were taken for chlorophyll-a analysis. Upon collection, all biological specimens were preserved in formalin solutions or flash-frozen for genetic analysis, depending on the species type. Sediment cores were analyzed for particle size distribution and chemical composition.</w:t>
      </w:r>
    </w:p>
    <w:bookmarkEnd w:id="27"/>
    <w:bookmarkStart w:id="28" w:name="laboratory-analysis"/>
    <w:p>
      <w:pPr>
        <w:pStyle w:val="Heading3"/>
      </w:pPr>
      <w:r>
        <w:t xml:space="preserve">3.3 Laboratory Analysis</w:t>
      </w:r>
    </w:p>
    <w:p>
      <w:pPr>
        <w:pStyle w:val="FirstParagraph"/>
      </w:pPr>
      <w:r>
        <w:t xml:space="preserve">In the laboratory, specimens were identified to the lowest possible taxonomic level using standard dichotomous keys and molecular barcoding techniques where morphological identification was ambiguous. Water quality parameters such as pH, dissolved oxygen, temperature, and salinity were measured in situ and verified in controlled lab conditions to ensure precision.</w:t>
      </w:r>
    </w:p>
    <w:bookmarkEnd w:id="28"/>
    <w:bookmarkEnd w:id="29"/>
    <w:bookmarkStart w:id="30" w:name="iv.-results"/>
    <w:p>
      <w:pPr>
        <w:pStyle w:val="Heading2"/>
      </w:pPr>
      <w:r>
        <w:t xml:space="preserve">IV. Results</w:t>
      </w:r>
    </w:p>
    <w:p>
      <w:pPr>
        <w:pStyle w:val="FirstParagraph"/>
      </w:pPr>
      <w:r>
        <w:t xml:space="preserve">The data gathered reveals a complex picture of the ecosystem's status. While general species richness indices remain within historical norms, there are notable deviations in population densities of sensitive taxa.</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Zone A (Urban Runoff)</w:t>
            </w:r>
          </w:p>
        </w:tc>
        <w:tc>
          <w:tcPr/>
          <w:p>
            <w:pPr>
              <w:pStyle w:val="Compact"/>
              <w:jc w:val="left"/>
            </w:pPr>
            <w:r>
              <w:t xml:space="preserve">Zone B (Protected Reserve)</w:t>
            </w:r>
          </w:p>
        </w:tc>
      </w:tr>
      <w:tr>
        <w:tc>
          <w:tcPr/>
          <w:p>
            <w:pPr>
              <w:pStyle w:val="Compact"/>
              <w:jc w:val="left"/>
            </w:pPr>
            <w:r>
              <w:t xml:space="preserve">Average Biodiversity Index</w:t>
            </w:r>
          </w:p>
        </w:tc>
        <w:tc>
          <w:tcPr/>
          <w:p>
            <w:pPr>
              <w:pStyle w:val="Compact"/>
              <w:jc w:val="left"/>
            </w:pPr>
            <w:r>
              <w:t xml:space="preserve">3.2</w:t>
            </w:r>
          </w:p>
        </w:tc>
        <w:tc>
          <w:tcPr/>
          <w:p>
            <w:pPr>
              <w:pStyle w:val="Compact"/>
              <w:jc w:val="left"/>
            </w:pPr>
            <w:r>
              <w:t xml:space="preserve">6.8</w:t>
            </w:r>
          </w:p>
        </w:tc>
      </w:tr>
      <w:tr>
        <w:tc>
          <w:tcPr/>
          <w:p>
            <w:pPr>
              <w:pStyle w:val="Compact"/>
              <w:jc w:val="left"/>
            </w:pPr>
            <w:r>
              <w:t xml:space="preserve">Mueller-Brown EPT Count (Mayflies, Stoneflies, Caddisflies)</w:t>
            </w:r>
          </w:p>
        </w:tc>
        <w:tc>
          <w:tcPr/>
          <w:p>
            <w:pPr>
              <w:pStyle w:val="Compact"/>
              <w:jc w:val="left"/>
            </w:pPr>
            <w:r>
              <w:t xml:space="preserve">12 per sample</w:t>
            </w:r>
          </w:p>
        </w:tc>
        <w:tc>
          <w:tcPr/>
          <w:p>
            <w:pPr>
              <w:pStyle w:val="Compact"/>
              <w:jc w:val="left"/>
            </w:pPr>
            <w:r>
              <w:t xml:space="preserve">45 per sample</w:t>
            </w:r>
          </w:p>
        </w:tc>
      </w:tr>
      <w:tr>
        <w:tc>
          <w:tcPr/>
          <w:p>
            <w:pPr>
              <w:pStyle w:val="Compact"/>
              <w:jc w:val="left"/>
            </w:pPr>
            <w:r>
              <w:t xml:space="preserve">Cadmium Concentration (ppm)</w:t>
            </w:r>
          </w:p>
        </w:tc>
        <w:tc>
          <w:tcPr/>
          <w:p>
            <w:pPr>
              <w:pStyle w:val="Compact"/>
              <w:jc w:val="left"/>
            </w:pPr>
            <w:r>
              <w:t xml:space="preserve">0.08 ppm</w:t>
            </w:r>
          </w:p>
        </w:tc>
        <w:tc>
          <w:tcPr/>
          <w:p>
            <w:pPr>
              <w:pStyle w:val="Compact"/>
              <w:jc w:val="left"/>
            </w:pPr>
            <w:r>
              <w:t xml:space="preserve">0.01 ppm</w:t>
            </w:r>
          </w:p>
        </w:tc>
      </w:tr>
    </w:tbl>
    <w:p>
      <w:pPr>
        <w:pStyle w:val="BodyText"/>
      </w:pPr>
      <w:r>
        <w:t xml:space="preserve">The results clearly demonstrate a disparity between urban-impacted zones and protected reserves. The lower EPT counts in Zone A suggest significant stress on sensitive aquatic insects, which are crucial bio-indicators of water quality. Furthermore, the elevated cadmium levels correlate with observed morphological abnormalities in local crustacean populations.</w:t>
      </w:r>
    </w:p>
    <w:bookmarkEnd w:id="30"/>
    <w:bookmarkStart w:id="33" w:name="v.-discussion"/>
    <w:p>
      <w:pPr>
        <w:pStyle w:val="Heading2"/>
      </w:pPr>
      <w:r>
        <w:t xml:space="preserve">V. Discussion</w:t>
      </w:r>
    </w:p>
    <w:p>
      <w:pPr>
        <w:pStyle w:val="FirstParagraph"/>
      </w:pPr>
      <w:r>
        <w:t xml:space="preserve">The findings from this study underscore the critical need for continued monitoring and adaptive management strategies in Los Angeles. The discrepancy between Zone A and Zone B highlights the efficacy of protective regulations but also exposes the vulnerabilities of areas lacking adequate green infrastructure.</w:t>
      </w:r>
    </w:p>
    <w:bookmarkStart w:id="31" w:name="implications-for-local-policy"/>
    <w:p>
      <w:pPr>
        <w:pStyle w:val="Heading3"/>
      </w:pPr>
      <w:r>
        <w:t xml:space="preserve">5.1 Implications for Local Policy</w:t>
      </w:r>
    </w:p>
    <w:p>
      <w:pPr>
        <w:pStyle w:val="FirstParagraph"/>
      </w:pPr>
      <w:r>
        <w:t xml:space="preserve">The presence of heavy metals in urban runoff zones necessitates a review of current filtration systems. The Biologist team recommends the installation of advanced bioswales and constructed wetlands capable of filtering out particulate matter before it reaches the marine environment. Additionally, public education campaigns regarding proper disposal of hazardous household waste could further mitigate contamination sources.</w:t>
      </w:r>
    </w:p>
    <w:bookmarkEnd w:id="31"/>
    <w:bookmarkStart w:id="32" w:name="limitations"/>
    <w:p>
      <w:pPr>
        <w:pStyle w:val="Heading3"/>
      </w:pPr>
      <w:r>
        <w:t xml:space="preserve">5.2 Limitations</w:t>
      </w:r>
    </w:p>
    <w:p>
      <w:pPr>
        <w:pStyle w:val="FirstParagraph"/>
      </w:pPr>
      <w:r>
        <w:t xml:space="preserve">This study was limited by seasonal variability, as data collection occurred primarily during the dry season in Los Angeles. Wet season runoff patterns may present different pollutant dynamics that require separate investigation. Future studies should aim for year-round sampling to capture these temporal fluctuations.</w:t>
      </w:r>
    </w:p>
    <w:bookmarkEnd w:id="32"/>
    <w:bookmarkEnd w:id="33"/>
    <w:bookmarkStart w:id="34" w:name="vi.-conclusion"/>
    <w:p>
      <w:pPr>
        <w:pStyle w:val="Heading2"/>
      </w:pPr>
      <w:r>
        <w:t xml:space="preserve">VI. Conclusion</w:t>
      </w:r>
    </w:p>
    <w:p>
      <w:pPr>
        <w:pStyle w:val="FirstParagraph"/>
      </w:pPr>
      <w:r>
        <w:t xml:space="preserve">This laboratory report confirms that the biological integrity of the Santa Monica Basin is under threat from urbanization-related stressors, particularly in areas directly influenced by Los Angeles infrastructure. The data obtained provides a scientific foundation for prioritizing remediation efforts. It is imperative that stakeholders, including municipal planners and environmental agencies, utilize this information to enforce stricter water quality standards.</w:t>
      </w:r>
    </w:p>
    <w:p>
      <w:pPr>
        <w:pStyle w:val="BodyText"/>
      </w:pPr>
      <w:r>
        <w:t xml:space="preserve">The role of the Biologist remains central to this process, acting as both investigator and advocate for ecological sustainability. By continuing rigorous monitoring in</w:t>
      </w:r>
      <w:r>
        <w:t xml:space="preserve"> </w:t>
      </w:r>
      <w:r>
        <w:rPr>
          <w:bCs/>
          <w:b/>
        </w:rPr>
        <w:t xml:space="preserve">United States Los Angeles</w:t>
      </w:r>
      <w:r>
        <w:t xml:space="preserve">, we can ensure that economic development does not come at the expense of our natural heritage. This report serves as a call to action for implementing evidence-based solutions to preserve the biodiversity of our coastal regions.</w:t>
      </w:r>
    </w:p>
    <w:bookmarkEnd w:id="34"/>
    <w:bookmarkStart w:id="35" w:name="vii.-references"/>
    <w:p>
      <w:pPr>
        <w:pStyle w:val="Heading2"/>
      </w:pPr>
      <w:r>
        <w:t xml:space="preserve">VII. References</w:t>
      </w:r>
    </w:p>
    <w:p>
      <w:pPr>
        <w:numPr>
          <w:ilvl w:val="0"/>
          <w:numId w:val="1002"/>
        </w:numPr>
        <w:pStyle w:val="Compact"/>
      </w:pPr>
      <w:r>
        <w:t xml:space="preserve">Caldwell, R. L., &amp; Miller, J. D. (1986). A guide to marine invertebrates of southern California and Baja California.</w:t>
      </w:r>
    </w:p>
    <w:p>
      <w:pPr>
        <w:numPr>
          <w:ilvl w:val="0"/>
          <w:numId w:val="1002"/>
        </w:numPr>
        <w:pStyle w:val="Compact"/>
      </w:pPr>
      <w:r>
        <w:t xml:space="preserve">EPA Office of Water (2015). Technical Support Document for Water Quality-Based Toxics Control.</w:t>
      </w:r>
    </w:p>
    <w:p>
      <w:pPr>
        <w:numPr>
          <w:ilvl w:val="0"/>
          <w:numId w:val="1002"/>
        </w:numPr>
        <w:pStyle w:val="Compact"/>
      </w:pPr>
      <w:r>
        <w:t xml:space="preserve">California State Water Resources Control Board. (2020). Regional Water Quality Control Plan Los Angeles Region.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Environmental Impact Assessment</dc:title>
  <dc:creator/>
  <dc:language>en</dc:language>
  <cp:keywords/>
  <dcterms:created xsi:type="dcterms:W3CDTF">2026-07-29T20:34:47Z</dcterms:created>
  <dcterms:modified xsi:type="dcterms:W3CDTF">2026-07-29T20:34:47Z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